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D5EB3" w14:textId="77777777" w:rsidR="001511A2" w:rsidRPr="00C64BE8" w:rsidRDefault="001511A2" w:rsidP="009D782A">
      <w:pPr>
        <w:spacing w:after="0" w:line="240" w:lineRule="auto"/>
        <w:jc w:val="center"/>
        <w:rPr>
          <w:b/>
          <w:sz w:val="24"/>
        </w:rPr>
      </w:pPr>
      <w:r w:rsidRPr="00C64BE8">
        <w:rPr>
          <w:b/>
          <w:sz w:val="24"/>
        </w:rPr>
        <w:t>Dirección General de Evaluación Institucional</w:t>
      </w:r>
    </w:p>
    <w:p w14:paraId="6A06AB9A" w14:textId="4A4EFFAF" w:rsidR="001511A2" w:rsidRPr="00C64BE8" w:rsidRDefault="001511A2" w:rsidP="009D782A">
      <w:pPr>
        <w:spacing w:after="0" w:line="240" w:lineRule="auto"/>
        <w:jc w:val="center"/>
        <w:rPr>
          <w:b/>
          <w:sz w:val="24"/>
        </w:rPr>
      </w:pPr>
      <w:r w:rsidRPr="00C64BE8">
        <w:rPr>
          <w:b/>
          <w:sz w:val="24"/>
        </w:rPr>
        <w:t xml:space="preserve">Ciudad Universitaria, DF a </w:t>
      </w:r>
      <w:r w:rsidR="00A73BFA" w:rsidRPr="00C64BE8">
        <w:rPr>
          <w:b/>
          <w:sz w:val="24"/>
        </w:rPr>
        <w:t>23</w:t>
      </w:r>
      <w:r w:rsidRPr="00C64BE8">
        <w:rPr>
          <w:b/>
          <w:sz w:val="24"/>
        </w:rPr>
        <w:t xml:space="preserve"> de </w:t>
      </w:r>
      <w:r w:rsidR="00A73BFA" w:rsidRPr="00C64BE8">
        <w:rPr>
          <w:b/>
          <w:sz w:val="24"/>
        </w:rPr>
        <w:t>julio</w:t>
      </w:r>
      <w:r w:rsidR="007F7C26" w:rsidRPr="00C64BE8">
        <w:rPr>
          <w:b/>
          <w:sz w:val="24"/>
        </w:rPr>
        <w:t xml:space="preserve"> </w:t>
      </w:r>
      <w:r w:rsidR="00A73BFA" w:rsidRPr="00C64BE8">
        <w:rPr>
          <w:b/>
          <w:sz w:val="24"/>
        </w:rPr>
        <w:t>de 2019</w:t>
      </w:r>
    </w:p>
    <w:p w14:paraId="1CF22417" w14:textId="77777777" w:rsidR="001511A2" w:rsidRPr="00C64BE8" w:rsidRDefault="001511A2" w:rsidP="009D782A">
      <w:pPr>
        <w:spacing w:after="0" w:line="240" w:lineRule="auto"/>
        <w:jc w:val="center"/>
        <w:rPr>
          <w:b/>
          <w:sz w:val="24"/>
        </w:rPr>
      </w:pPr>
    </w:p>
    <w:p w14:paraId="105F4479" w14:textId="1E5C2F44" w:rsidR="001511A2" w:rsidRPr="00C64BE8" w:rsidRDefault="001511A2" w:rsidP="009D782A">
      <w:pPr>
        <w:spacing w:after="0" w:line="240" w:lineRule="auto"/>
        <w:jc w:val="center"/>
        <w:rPr>
          <w:b/>
          <w:sz w:val="28"/>
          <w:szCs w:val="28"/>
        </w:rPr>
      </w:pPr>
      <w:r w:rsidRPr="00C64BE8">
        <w:rPr>
          <w:b/>
          <w:sz w:val="28"/>
          <w:szCs w:val="28"/>
        </w:rPr>
        <w:t xml:space="preserve">UNAM </w:t>
      </w:r>
      <w:r w:rsidR="00966674" w:rsidRPr="00C64BE8">
        <w:rPr>
          <w:b/>
          <w:sz w:val="28"/>
          <w:szCs w:val="28"/>
        </w:rPr>
        <w:t xml:space="preserve">EN </w:t>
      </w:r>
      <w:r w:rsidR="00E00762" w:rsidRPr="00C64BE8">
        <w:rPr>
          <w:b/>
          <w:sz w:val="28"/>
          <w:szCs w:val="28"/>
        </w:rPr>
        <w:t>EL RANKING DE LAS MEJORES U</w:t>
      </w:r>
      <w:r w:rsidR="00B84CB7" w:rsidRPr="00C64BE8">
        <w:rPr>
          <w:b/>
          <w:sz w:val="28"/>
          <w:szCs w:val="28"/>
        </w:rPr>
        <w:t>NIVERSIDADES DE MÉXICO (AMÉRICA</w:t>
      </w:r>
      <w:r w:rsidR="00E00762" w:rsidRPr="00C64BE8">
        <w:rPr>
          <w:b/>
          <w:sz w:val="28"/>
          <w:szCs w:val="28"/>
        </w:rPr>
        <w:t>ECONOMÍA)</w:t>
      </w:r>
    </w:p>
    <w:p w14:paraId="206DCAFA" w14:textId="77777777" w:rsidR="00EF2EDE" w:rsidRPr="00C64BE8" w:rsidRDefault="00EF2EDE" w:rsidP="009D782A">
      <w:pPr>
        <w:spacing w:after="0" w:line="240" w:lineRule="auto"/>
        <w:rPr>
          <w:sz w:val="24"/>
        </w:rPr>
      </w:pPr>
    </w:p>
    <w:p w14:paraId="08C5E30D" w14:textId="25E75EA6" w:rsidR="00894FE3" w:rsidRPr="00C64BE8" w:rsidRDefault="007641C3" w:rsidP="009D782A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sz w:val="24"/>
        </w:rPr>
      </w:pPr>
      <w:r w:rsidRPr="00C64BE8">
        <w:rPr>
          <w:sz w:val="24"/>
        </w:rPr>
        <w:t xml:space="preserve">La Revista </w:t>
      </w:r>
      <w:r w:rsidR="00B84CB7" w:rsidRPr="00C64BE8">
        <w:rPr>
          <w:sz w:val="24"/>
        </w:rPr>
        <w:t xml:space="preserve">AméricaEconomía </w:t>
      </w:r>
      <w:r w:rsidR="00AF2B49" w:rsidRPr="00C64BE8">
        <w:rPr>
          <w:sz w:val="24"/>
        </w:rPr>
        <w:t xml:space="preserve">publica desde el año 2012 </w:t>
      </w:r>
      <w:r w:rsidR="00046F68" w:rsidRPr="00C64BE8">
        <w:rPr>
          <w:sz w:val="24"/>
        </w:rPr>
        <w:t>su ranking sobre las mejores universidades en México</w:t>
      </w:r>
      <w:r w:rsidR="00894FE3" w:rsidRPr="00C64BE8">
        <w:rPr>
          <w:sz w:val="24"/>
        </w:rPr>
        <w:t>.</w:t>
      </w:r>
    </w:p>
    <w:p w14:paraId="2418565D" w14:textId="77777777" w:rsidR="00894FE3" w:rsidRPr="00C64BE8" w:rsidRDefault="00894FE3" w:rsidP="009D782A">
      <w:pPr>
        <w:spacing w:after="0" w:line="240" w:lineRule="auto"/>
        <w:ind w:left="426"/>
        <w:jc w:val="both"/>
      </w:pPr>
    </w:p>
    <w:p w14:paraId="01F103FE" w14:textId="40E29394" w:rsidR="00225246" w:rsidRPr="00C64BE8" w:rsidRDefault="009065C4" w:rsidP="009D782A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sz w:val="24"/>
        </w:rPr>
      </w:pPr>
      <w:r w:rsidRPr="00C64BE8">
        <w:rPr>
          <w:sz w:val="24"/>
        </w:rPr>
        <w:t xml:space="preserve">La UNAM es la mejor universidad de México por octavo año consecutivo, según el ranking </w:t>
      </w:r>
      <w:r w:rsidR="00DB747E" w:rsidRPr="00C64BE8">
        <w:rPr>
          <w:sz w:val="24"/>
        </w:rPr>
        <w:t>de las mejores u</w:t>
      </w:r>
      <w:r w:rsidR="00FA08BD" w:rsidRPr="00C64BE8">
        <w:rPr>
          <w:sz w:val="24"/>
        </w:rPr>
        <w:t>niversidades de México (América</w:t>
      </w:r>
      <w:r w:rsidR="00DB747E" w:rsidRPr="00C64BE8">
        <w:rPr>
          <w:sz w:val="24"/>
        </w:rPr>
        <w:t>Economía)</w:t>
      </w:r>
      <w:r w:rsidR="00225246" w:rsidRPr="00C64BE8">
        <w:rPr>
          <w:sz w:val="24"/>
        </w:rPr>
        <w:t>.</w:t>
      </w:r>
    </w:p>
    <w:p w14:paraId="67B60E85" w14:textId="02FD0530" w:rsidR="00C74D3D" w:rsidRPr="00C64BE8" w:rsidRDefault="00C74D3D" w:rsidP="009D782A">
      <w:pPr>
        <w:pStyle w:val="Prrafodelista"/>
        <w:spacing w:after="0" w:line="240" w:lineRule="auto"/>
        <w:ind w:left="426"/>
        <w:jc w:val="both"/>
        <w:rPr>
          <w:sz w:val="24"/>
        </w:rPr>
      </w:pPr>
    </w:p>
    <w:p w14:paraId="56298715" w14:textId="753D70AE" w:rsidR="008F5458" w:rsidRPr="00C64BE8" w:rsidRDefault="003C46EA" w:rsidP="009D782A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sz w:val="24"/>
        </w:rPr>
      </w:pPr>
      <w:r w:rsidRPr="00C64BE8">
        <w:rPr>
          <w:b/>
          <w:sz w:val="24"/>
        </w:rPr>
        <w:t>Metodología</w:t>
      </w:r>
    </w:p>
    <w:p w14:paraId="6AA8537E" w14:textId="6B24A62A" w:rsidR="00372306" w:rsidRPr="00C64BE8" w:rsidRDefault="00372306" w:rsidP="009D782A">
      <w:pPr>
        <w:pStyle w:val="Prrafodelista"/>
        <w:spacing w:after="0" w:line="240" w:lineRule="auto"/>
        <w:ind w:left="426"/>
        <w:jc w:val="both"/>
        <w:rPr>
          <w:sz w:val="24"/>
        </w:rPr>
      </w:pPr>
      <w:r w:rsidRPr="00C64BE8">
        <w:rPr>
          <w:sz w:val="24"/>
        </w:rPr>
        <w:t>El ranking está compuesto por dos secciones: 1) Datos significativos</w:t>
      </w:r>
      <w:r w:rsidR="00DB47D3" w:rsidRPr="00C64BE8">
        <w:rPr>
          <w:sz w:val="24"/>
        </w:rPr>
        <w:t xml:space="preserve"> (</w:t>
      </w:r>
      <w:r w:rsidR="00744FFF" w:rsidRPr="00C64BE8">
        <w:rPr>
          <w:sz w:val="24"/>
        </w:rPr>
        <w:t xml:space="preserve">información </w:t>
      </w:r>
      <w:r w:rsidR="00DB47D3" w:rsidRPr="00C64BE8">
        <w:rPr>
          <w:sz w:val="24"/>
        </w:rPr>
        <w:t xml:space="preserve">general </w:t>
      </w:r>
      <w:r w:rsidR="00744FFF" w:rsidRPr="00C64BE8">
        <w:rPr>
          <w:sz w:val="24"/>
        </w:rPr>
        <w:t>de las universidades</w:t>
      </w:r>
      <w:r w:rsidR="00DB47D3" w:rsidRPr="00C64BE8">
        <w:rPr>
          <w:sz w:val="24"/>
        </w:rPr>
        <w:t>)</w:t>
      </w:r>
      <w:r w:rsidR="00744FFF" w:rsidRPr="00C64BE8">
        <w:rPr>
          <w:sz w:val="24"/>
        </w:rPr>
        <w:t xml:space="preserve">, </w:t>
      </w:r>
      <w:r w:rsidRPr="00C64BE8">
        <w:rPr>
          <w:sz w:val="24"/>
        </w:rPr>
        <w:t xml:space="preserve">y 2) Dimensiones de análisis, los cuales son los indicadores que se presentarán a continuación: </w:t>
      </w:r>
    </w:p>
    <w:p w14:paraId="20D01AFE" w14:textId="77777777" w:rsidR="00372306" w:rsidRPr="00C64BE8" w:rsidRDefault="00372306" w:rsidP="009D782A">
      <w:pPr>
        <w:pStyle w:val="Prrafodelista"/>
        <w:spacing w:after="0" w:line="240" w:lineRule="auto"/>
        <w:ind w:left="426"/>
        <w:jc w:val="both"/>
        <w:rPr>
          <w:sz w:val="24"/>
        </w:rPr>
      </w:pPr>
    </w:p>
    <w:p w14:paraId="2F1FAAC6" w14:textId="77777777" w:rsidR="0023315E" w:rsidRPr="00C64BE8" w:rsidRDefault="0023315E" w:rsidP="009D782A">
      <w:pPr>
        <w:pStyle w:val="Prrafodelista"/>
        <w:spacing w:after="0" w:line="240" w:lineRule="auto"/>
        <w:ind w:left="426"/>
        <w:jc w:val="both"/>
        <w:rPr>
          <w:b/>
          <w:sz w:val="24"/>
        </w:rPr>
      </w:pPr>
      <w:r w:rsidRPr="00C64BE8">
        <w:rPr>
          <w:b/>
          <w:sz w:val="24"/>
        </w:rPr>
        <w:t>Indicadores</w:t>
      </w:r>
    </w:p>
    <w:p w14:paraId="6CA9F095" w14:textId="2016B88B" w:rsidR="008F5458" w:rsidRPr="00C64BE8" w:rsidRDefault="008F5458" w:rsidP="009D782A">
      <w:pPr>
        <w:pStyle w:val="Prrafodelista"/>
        <w:numPr>
          <w:ilvl w:val="0"/>
          <w:numId w:val="8"/>
        </w:numPr>
        <w:spacing w:after="0" w:line="240" w:lineRule="auto"/>
        <w:ind w:left="1276"/>
        <w:jc w:val="both"/>
        <w:rPr>
          <w:sz w:val="24"/>
        </w:rPr>
      </w:pPr>
      <w:r w:rsidRPr="00C64BE8">
        <w:rPr>
          <w:b/>
          <w:sz w:val="24"/>
        </w:rPr>
        <w:t>Calidad docente (30%)</w:t>
      </w:r>
      <w:r w:rsidR="00850B96" w:rsidRPr="00C64BE8">
        <w:rPr>
          <w:b/>
          <w:sz w:val="24"/>
        </w:rPr>
        <w:t>:</w:t>
      </w:r>
      <w:r w:rsidR="00850B96" w:rsidRPr="00C64BE8">
        <w:rPr>
          <w:sz w:val="24"/>
        </w:rPr>
        <w:t xml:space="preserve"> </w:t>
      </w:r>
      <w:r w:rsidR="00225246" w:rsidRPr="00C64BE8">
        <w:rPr>
          <w:sz w:val="24"/>
        </w:rPr>
        <w:t>E</w:t>
      </w:r>
      <w:r w:rsidR="00702513" w:rsidRPr="00C64BE8">
        <w:rPr>
          <w:sz w:val="24"/>
        </w:rPr>
        <w:t xml:space="preserve">valúa la planta docente respecto a su </w:t>
      </w:r>
      <w:r w:rsidR="002060AF" w:rsidRPr="00C64BE8">
        <w:rPr>
          <w:sz w:val="24"/>
        </w:rPr>
        <w:t xml:space="preserve">formación, </w:t>
      </w:r>
      <w:r w:rsidR="00702513" w:rsidRPr="00C64BE8">
        <w:rPr>
          <w:sz w:val="24"/>
        </w:rPr>
        <w:t>tamaño</w:t>
      </w:r>
      <w:r w:rsidR="0084390E" w:rsidRPr="00C64BE8">
        <w:rPr>
          <w:sz w:val="24"/>
        </w:rPr>
        <w:t>, y</w:t>
      </w:r>
      <w:r w:rsidR="00702513" w:rsidRPr="00C64BE8">
        <w:rPr>
          <w:sz w:val="24"/>
        </w:rPr>
        <w:t xml:space="preserve"> características de su labor docente.</w:t>
      </w:r>
      <w:r w:rsidR="0084390E" w:rsidRPr="00C64BE8">
        <w:rPr>
          <w:sz w:val="24"/>
        </w:rPr>
        <w:t xml:space="preserve"> </w:t>
      </w:r>
    </w:p>
    <w:p w14:paraId="4E7F6FE0" w14:textId="00F8D810" w:rsidR="008F5458" w:rsidRPr="00C64BE8" w:rsidRDefault="008F5458" w:rsidP="009D782A">
      <w:pPr>
        <w:pStyle w:val="Prrafodelista"/>
        <w:numPr>
          <w:ilvl w:val="0"/>
          <w:numId w:val="8"/>
        </w:numPr>
        <w:spacing w:after="0" w:line="240" w:lineRule="auto"/>
        <w:ind w:left="1276"/>
        <w:jc w:val="both"/>
        <w:rPr>
          <w:sz w:val="24"/>
        </w:rPr>
      </w:pPr>
      <w:r w:rsidRPr="00C64BE8">
        <w:rPr>
          <w:b/>
          <w:sz w:val="24"/>
        </w:rPr>
        <w:t>Investigación (20%)</w:t>
      </w:r>
      <w:r w:rsidR="00850B96" w:rsidRPr="00C64BE8">
        <w:rPr>
          <w:b/>
          <w:sz w:val="24"/>
        </w:rPr>
        <w:t>:</w:t>
      </w:r>
      <w:r w:rsidR="00850B96" w:rsidRPr="00C64BE8">
        <w:rPr>
          <w:sz w:val="24"/>
        </w:rPr>
        <w:t xml:space="preserve"> </w:t>
      </w:r>
      <w:r w:rsidR="00702513" w:rsidRPr="00C64BE8">
        <w:rPr>
          <w:sz w:val="24"/>
        </w:rPr>
        <w:t>Mide la producción de investigación de las universidades considerando la generación de patentes</w:t>
      </w:r>
      <w:r w:rsidR="00027D2A" w:rsidRPr="00C64BE8">
        <w:rPr>
          <w:sz w:val="24"/>
        </w:rPr>
        <w:t xml:space="preserve">, </w:t>
      </w:r>
      <w:r w:rsidR="00702513" w:rsidRPr="00C64BE8">
        <w:rPr>
          <w:sz w:val="24"/>
        </w:rPr>
        <w:t>publicación de artículos</w:t>
      </w:r>
      <w:r w:rsidR="00027D2A" w:rsidRPr="00C64BE8">
        <w:rPr>
          <w:sz w:val="24"/>
        </w:rPr>
        <w:t xml:space="preserve"> en ISI Web of Science</w:t>
      </w:r>
      <w:r w:rsidR="00702513" w:rsidRPr="00C64BE8">
        <w:rPr>
          <w:sz w:val="24"/>
        </w:rPr>
        <w:t>, así como el nivel de los investigadores en el Sistema Nacional de Investigadores (SNI-CONACYT).</w:t>
      </w:r>
    </w:p>
    <w:p w14:paraId="09F3C603" w14:textId="281545A2" w:rsidR="008F5458" w:rsidRPr="00C64BE8" w:rsidRDefault="0084390E" w:rsidP="009D782A">
      <w:pPr>
        <w:pStyle w:val="Prrafodelista"/>
        <w:numPr>
          <w:ilvl w:val="0"/>
          <w:numId w:val="8"/>
        </w:numPr>
        <w:spacing w:after="0" w:line="240" w:lineRule="auto"/>
        <w:ind w:left="1276"/>
        <w:jc w:val="both"/>
        <w:rPr>
          <w:sz w:val="24"/>
        </w:rPr>
      </w:pPr>
      <w:r w:rsidRPr="00C64BE8">
        <w:rPr>
          <w:b/>
          <w:sz w:val="24"/>
        </w:rPr>
        <w:t>Prestigio (15</w:t>
      </w:r>
      <w:r w:rsidR="008F5458" w:rsidRPr="00C64BE8">
        <w:rPr>
          <w:b/>
          <w:sz w:val="24"/>
        </w:rPr>
        <w:t>%)</w:t>
      </w:r>
      <w:r w:rsidR="00850B96" w:rsidRPr="00C64BE8">
        <w:rPr>
          <w:b/>
          <w:sz w:val="24"/>
        </w:rPr>
        <w:t>:</w:t>
      </w:r>
      <w:r w:rsidR="00850B96" w:rsidRPr="00C64BE8">
        <w:rPr>
          <w:sz w:val="24"/>
        </w:rPr>
        <w:t xml:space="preserve"> </w:t>
      </w:r>
      <w:r w:rsidR="00702513" w:rsidRPr="00C64BE8">
        <w:rPr>
          <w:sz w:val="24"/>
        </w:rPr>
        <w:t xml:space="preserve">Considera </w:t>
      </w:r>
      <w:r w:rsidR="00B84CB7" w:rsidRPr="00C64BE8">
        <w:rPr>
          <w:sz w:val="24"/>
        </w:rPr>
        <w:t xml:space="preserve">dos </w:t>
      </w:r>
      <w:r w:rsidR="00702513" w:rsidRPr="00C64BE8">
        <w:rPr>
          <w:sz w:val="24"/>
        </w:rPr>
        <w:t>encuesta realizada</w:t>
      </w:r>
      <w:r w:rsidR="00B84CB7" w:rsidRPr="00C64BE8">
        <w:rPr>
          <w:sz w:val="24"/>
        </w:rPr>
        <w:t>s</w:t>
      </w:r>
      <w:r w:rsidR="00702513" w:rsidRPr="00C64BE8">
        <w:rPr>
          <w:sz w:val="24"/>
        </w:rPr>
        <w:t xml:space="preserve"> </w:t>
      </w:r>
      <w:r w:rsidR="00B84CB7" w:rsidRPr="00C64BE8">
        <w:rPr>
          <w:sz w:val="24"/>
        </w:rPr>
        <w:t xml:space="preserve">a los lectores del </w:t>
      </w:r>
      <w:r w:rsidR="00367F14" w:rsidRPr="00C64BE8">
        <w:rPr>
          <w:sz w:val="24"/>
        </w:rPr>
        <w:t xml:space="preserve">periódico </w:t>
      </w:r>
      <w:r w:rsidR="00367F14" w:rsidRPr="00C64BE8">
        <w:rPr>
          <w:i/>
          <w:sz w:val="24"/>
        </w:rPr>
        <w:t>El Economista</w:t>
      </w:r>
      <w:r w:rsidR="00B84CB7" w:rsidRPr="00C64BE8">
        <w:rPr>
          <w:i/>
          <w:sz w:val="24"/>
        </w:rPr>
        <w:t xml:space="preserve"> y AméricaEconomía</w:t>
      </w:r>
      <w:r w:rsidR="00702513" w:rsidRPr="00C64BE8">
        <w:rPr>
          <w:sz w:val="24"/>
        </w:rPr>
        <w:t>.</w:t>
      </w:r>
    </w:p>
    <w:p w14:paraId="68000833" w14:textId="4512A8CA" w:rsidR="008F5458" w:rsidRPr="00C64BE8" w:rsidRDefault="0084390E" w:rsidP="009D782A">
      <w:pPr>
        <w:pStyle w:val="Prrafodelista"/>
        <w:numPr>
          <w:ilvl w:val="0"/>
          <w:numId w:val="8"/>
        </w:numPr>
        <w:spacing w:after="0" w:line="240" w:lineRule="auto"/>
        <w:ind w:left="1276"/>
        <w:jc w:val="both"/>
        <w:rPr>
          <w:sz w:val="24"/>
        </w:rPr>
      </w:pPr>
      <w:r w:rsidRPr="00C64BE8">
        <w:rPr>
          <w:b/>
          <w:sz w:val="24"/>
        </w:rPr>
        <w:t>Oferta de posgrado (10</w:t>
      </w:r>
      <w:r w:rsidR="008F5458" w:rsidRPr="00C64BE8">
        <w:rPr>
          <w:b/>
          <w:sz w:val="24"/>
        </w:rPr>
        <w:t>%)</w:t>
      </w:r>
      <w:r w:rsidR="00850B96" w:rsidRPr="00C64BE8">
        <w:rPr>
          <w:b/>
          <w:sz w:val="24"/>
        </w:rPr>
        <w:t>:</w:t>
      </w:r>
      <w:r w:rsidR="00850B96" w:rsidRPr="00C64BE8">
        <w:rPr>
          <w:sz w:val="24"/>
        </w:rPr>
        <w:t xml:space="preserve"> </w:t>
      </w:r>
      <w:r w:rsidR="00A9007D" w:rsidRPr="00C64BE8">
        <w:rPr>
          <w:sz w:val="24"/>
        </w:rPr>
        <w:t xml:space="preserve">Mide el número total de programas de posgrado y </w:t>
      </w:r>
      <w:r w:rsidR="00075CFA" w:rsidRPr="00C64BE8">
        <w:rPr>
          <w:sz w:val="24"/>
        </w:rPr>
        <w:t>el número de programas incorporados en el Programa Nacional de Posgrados de Calidad (PNPC-CONACYT).</w:t>
      </w:r>
    </w:p>
    <w:p w14:paraId="644785AF" w14:textId="2C19CA43" w:rsidR="008F5458" w:rsidRPr="00C64BE8" w:rsidRDefault="008F5458" w:rsidP="009D782A">
      <w:pPr>
        <w:pStyle w:val="Prrafodelista"/>
        <w:numPr>
          <w:ilvl w:val="0"/>
          <w:numId w:val="8"/>
        </w:numPr>
        <w:spacing w:after="0" w:line="240" w:lineRule="auto"/>
        <w:ind w:left="1276"/>
        <w:jc w:val="both"/>
        <w:rPr>
          <w:sz w:val="24"/>
        </w:rPr>
      </w:pPr>
      <w:r w:rsidRPr="00C64BE8">
        <w:rPr>
          <w:b/>
          <w:sz w:val="24"/>
        </w:rPr>
        <w:t>Internacionalización (1</w:t>
      </w:r>
      <w:r w:rsidR="0084390E" w:rsidRPr="00C64BE8">
        <w:rPr>
          <w:b/>
          <w:sz w:val="24"/>
        </w:rPr>
        <w:t>5</w:t>
      </w:r>
      <w:r w:rsidRPr="00C64BE8">
        <w:rPr>
          <w:b/>
          <w:sz w:val="24"/>
        </w:rPr>
        <w:t>%)</w:t>
      </w:r>
      <w:r w:rsidR="00850B96" w:rsidRPr="00C64BE8">
        <w:rPr>
          <w:b/>
          <w:sz w:val="24"/>
        </w:rPr>
        <w:t>:</w:t>
      </w:r>
      <w:r w:rsidR="00850B96" w:rsidRPr="00C64BE8">
        <w:rPr>
          <w:sz w:val="24"/>
        </w:rPr>
        <w:t xml:space="preserve"> </w:t>
      </w:r>
      <w:r w:rsidR="00075CFA" w:rsidRPr="00C64BE8">
        <w:rPr>
          <w:sz w:val="24"/>
        </w:rPr>
        <w:t>Considera el número de participaciones en rankings internacionales</w:t>
      </w:r>
      <w:r w:rsidR="00C65301" w:rsidRPr="00C64BE8">
        <w:rPr>
          <w:sz w:val="24"/>
        </w:rPr>
        <w:t>, así como</w:t>
      </w:r>
      <w:r w:rsidR="00EB1F39" w:rsidRPr="00C64BE8">
        <w:rPr>
          <w:sz w:val="24"/>
        </w:rPr>
        <w:t xml:space="preserve"> un reporte sobre información de cooperación internacional por parte de las propias universidades</w:t>
      </w:r>
      <w:r w:rsidR="00C65301" w:rsidRPr="00C64BE8">
        <w:rPr>
          <w:sz w:val="24"/>
        </w:rPr>
        <w:t>.</w:t>
      </w:r>
    </w:p>
    <w:p w14:paraId="19FFE3A2" w14:textId="07497AD3" w:rsidR="0023315E" w:rsidRPr="00C64BE8" w:rsidRDefault="008F5458" w:rsidP="009D782A">
      <w:pPr>
        <w:pStyle w:val="Prrafodelista"/>
        <w:numPr>
          <w:ilvl w:val="0"/>
          <w:numId w:val="8"/>
        </w:numPr>
        <w:spacing w:after="0" w:line="240" w:lineRule="auto"/>
        <w:ind w:left="1276"/>
        <w:jc w:val="both"/>
        <w:rPr>
          <w:sz w:val="24"/>
        </w:rPr>
      </w:pPr>
      <w:r w:rsidRPr="00C64BE8">
        <w:rPr>
          <w:b/>
          <w:sz w:val="24"/>
        </w:rPr>
        <w:t>Acreditación (5%)</w:t>
      </w:r>
      <w:r w:rsidR="00850B96" w:rsidRPr="00C64BE8">
        <w:rPr>
          <w:b/>
          <w:sz w:val="24"/>
        </w:rPr>
        <w:t>:</w:t>
      </w:r>
      <w:r w:rsidR="00850B96" w:rsidRPr="00C64BE8">
        <w:rPr>
          <w:sz w:val="24"/>
        </w:rPr>
        <w:t xml:space="preserve"> </w:t>
      </w:r>
      <w:r w:rsidR="001208F3" w:rsidRPr="00C64BE8">
        <w:rPr>
          <w:sz w:val="24"/>
        </w:rPr>
        <w:t xml:space="preserve">Mide </w:t>
      </w:r>
      <w:r w:rsidR="00C65301" w:rsidRPr="00C64BE8">
        <w:rPr>
          <w:sz w:val="24"/>
        </w:rPr>
        <w:t>el número de programas académicos acreditados ante el Consejo para la Acreditación de la Educación Superior (COPAES) y la proporción de dichos programas en relación con el total de programas ofrecidos.</w:t>
      </w:r>
    </w:p>
    <w:p w14:paraId="56B84E4C" w14:textId="3CD57F29" w:rsidR="0084390E" w:rsidRPr="00C64BE8" w:rsidRDefault="0084390E" w:rsidP="009D782A">
      <w:pPr>
        <w:pStyle w:val="Prrafodelista"/>
        <w:numPr>
          <w:ilvl w:val="0"/>
          <w:numId w:val="8"/>
        </w:numPr>
        <w:spacing w:after="0" w:line="240" w:lineRule="auto"/>
        <w:ind w:left="1276"/>
        <w:jc w:val="both"/>
        <w:rPr>
          <w:sz w:val="24"/>
        </w:rPr>
      </w:pPr>
      <w:r w:rsidRPr="00C64BE8">
        <w:rPr>
          <w:b/>
          <w:sz w:val="24"/>
        </w:rPr>
        <w:t>Inclusión y Diversidad (5%):</w:t>
      </w:r>
      <w:r w:rsidRPr="00C64BE8">
        <w:rPr>
          <w:sz w:val="24"/>
        </w:rPr>
        <w:t xml:space="preserve"> </w:t>
      </w:r>
      <w:r w:rsidR="0097111C" w:rsidRPr="00C64BE8">
        <w:rPr>
          <w:sz w:val="24"/>
        </w:rPr>
        <w:t>Evalúa la proporción de estudiantes mujeres, indígenas, afromexicanos y con discapacidad sobre la matrícula del total, además de la paridad entre hombres y mujeres docentes y administrativos</w:t>
      </w:r>
      <w:r w:rsidR="00B84CB7" w:rsidRPr="00C64BE8">
        <w:rPr>
          <w:sz w:val="24"/>
        </w:rPr>
        <w:t xml:space="preserve">. También considera el monto asignado en becas y la cantidad de estudiantes beneficiados, </w:t>
      </w:r>
      <w:r w:rsidR="0097111C" w:rsidRPr="00C64BE8">
        <w:rPr>
          <w:sz w:val="24"/>
        </w:rPr>
        <w:t>y la infraestructura disponible en las universidades.</w:t>
      </w:r>
    </w:p>
    <w:p w14:paraId="1FB3B379" w14:textId="77777777" w:rsidR="00C65301" w:rsidRPr="00C64BE8" w:rsidRDefault="00C65301" w:rsidP="009D782A">
      <w:pPr>
        <w:pStyle w:val="Prrafodelista"/>
        <w:spacing w:after="0" w:line="240" w:lineRule="auto"/>
        <w:ind w:left="426"/>
        <w:jc w:val="both"/>
        <w:rPr>
          <w:sz w:val="24"/>
        </w:rPr>
      </w:pPr>
    </w:p>
    <w:p w14:paraId="31F9948E" w14:textId="6C399497" w:rsidR="007641C3" w:rsidRPr="00C64BE8" w:rsidRDefault="00C74D3D" w:rsidP="00DA4298">
      <w:pPr>
        <w:pStyle w:val="Prrafodelista"/>
        <w:numPr>
          <w:ilvl w:val="1"/>
          <w:numId w:val="1"/>
        </w:numPr>
        <w:spacing w:after="0" w:line="240" w:lineRule="auto"/>
        <w:ind w:left="709"/>
        <w:jc w:val="both"/>
        <w:rPr>
          <w:sz w:val="24"/>
        </w:rPr>
      </w:pPr>
      <w:r w:rsidRPr="00C64BE8">
        <w:rPr>
          <w:sz w:val="24"/>
        </w:rPr>
        <w:lastRenderedPageBreak/>
        <w:t>Desde el año 2014</w:t>
      </w:r>
      <w:r w:rsidR="00BD2024" w:rsidRPr="00C64BE8">
        <w:rPr>
          <w:sz w:val="24"/>
        </w:rPr>
        <w:t>,</w:t>
      </w:r>
      <w:r w:rsidR="007641C3" w:rsidRPr="00C64BE8">
        <w:rPr>
          <w:sz w:val="24"/>
        </w:rPr>
        <w:t xml:space="preserve"> el ranking </w:t>
      </w:r>
      <w:r w:rsidR="00CF5F4D" w:rsidRPr="00C64BE8">
        <w:rPr>
          <w:sz w:val="24"/>
        </w:rPr>
        <w:t xml:space="preserve">de </w:t>
      </w:r>
      <w:r w:rsidRPr="00C64BE8">
        <w:rPr>
          <w:sz w:val="24"/>
        </w:rPr>
        <w:t xml:space="preserve">la revista </w:t>
      </w:r>
      <w:r w:rsidR="00B84CB7" w:rsidRPr="00C64BE8">
        <w:rPr>
          <w:sz w:val="24"/>
        </w:rPr>
        <w:t xml:space="preserve">AméricaEconomía </w:t>
      </w:r>
      <w:r w:rsidR="007641C3" w:rsidRPr="00C64BE8">
        <w:rPr>
          <w:sz w:val="24"/>
        </w:rPr>
        <w:t xml:space="preserve">utiliza </w:t>
      </w:r>
      <w:r w:rsidRPr="00C64BE8">
        <w:rPr>
          <w:sz w:val="24"/>
        </w:rPr>
        <w:t>como fuente de información a</w:t>
      </w:r>
      <w:r w:rsidR="00CC11D7" w:rsidRPr="00C64BE8">
        <w:rPr>
          <w:sz w:val="24"/>
        </w:rPr>
        <w:t>l Explorador de dat</w:t>
      </w:r>
      <w:r w:rsidR="007641C3" w:rsidRPr="00C64BE8">
        <w:rPr>
          <w:sz w:val="24"/>
        </w:rPr>
        <w:t>os del Estudio Comparativo de las Universidades Mexicanas (ExECUM) de la Dirección General de Evaluación Institucional de la UNAM.</w:t>
      </w:r>
    </w:p>
    <w:p w14:paraId="378135CD" w14:textId="77777777" w:rsidR="00255ED9" w:rsidRPr="00C64BE8" w:rsidRDefault="00255ED9" w:rsidP="009D782A">
      <w:pPr>
        <w:pStyle w:val="Prrafodelista"/>
        <w:spacing w:after="0" w:line="240" w:lineRule="auto"/>
        <w:ind w:left="426"/>
        <w:rPr>
          <w:sz w:val="24"/>
        </w:rPr>
      </w:pPr>
    </w:p>
    <w:p w14:paraId="1AC35155" w14:textId="3061291A" w:rsidR="00255ED9" w:rsidRPr="00C64BE8" w:rsidRDefault="00255ED9" w:rsidP="00DA4298">
      <w:pPr>
        <w:pStyle w:val="Prrafodelista"/>
        <w:numPr>
          <w:ilvl w:val="1"/>
          <w:numId w:val="1"/>
        </w:numPr>
        <w:spacing w:after="0" w:line="240" w:lineRule="auto"/>
        <w:ind w:left="709"/>
        <w:jc w:val="both"/>
        <w:rPr>
          <w:sz w:val="24"/>
        </w:rPr>
      </w:pPr>
      <w:r w:rsidRPr="00C64BE8">
        <w:rPr>
          <w:sz w:val="24"/>
        </w:rPr>
        <w:t xml:space="preserve">Todos los puntajes del ranking se encuentran normalizados al 100% con referencia al valor de 100 puntos asignados a la universidad con mejor </w:t>
      </w:r>
      <w:r w:rsidR="00276DFC" w:rsidRPr="00C64BE8">
        <w:rPr>
          <w:sz w:val="24"/>
        </w:rPr>
        <w:t>puntaje</w:t>
      </w:r>
      <w:r w:rsidRPr="00C64BE8">
        <w:rPr>
          <w:sz w:val="24"/>
        </w:rPr>
        <w:t xml:space="preserve"> en cada indicador.</w:t>
      </w:r>
    </w:p>
    <w:p w14:paraId="20FB3812" w14:textId="77777777" w:rsidR="00A76917" w:rsidRPr="00C64BE8" w:rsidRDefault="00A76917" w:rsidP="009D782A">
      <w:pPr>
        <w:pStyle w:val="Prrafodelista"/>
        <w:spacing w:after="0" w:line="240" w:lineRule="auto"/>
        <w:ind w:left="426"/>
        <w:jc w:val="both"/>
        <w:rPr>
          <w:sz w:val="24"/>
        </w:rPr>
      </w:pPr>
    </w:p>
    <w:p w14:paraId="7CBCFEA4" w14:textId="7981DFD9" w:rsidR="00874987" w:rsidRPr="00C64BE8" w:rsidRDefault="00874987" w:rsidP="009D782A">
      <w:pPr>
        <w:pStyle w:val="Prrafodelista"/>
        <w:spacing w:after="0" w:line="240" w:lineRule="auto"/>
        <w:ind w:left="426"/>
        <w:jc w:val="both"/>
        <w:rPr>
          <w:b/>
          <w:sz w:val="24"/>
        </w:rPr>
      </w:pPr>
      <w:r w:rsidRPr="00C64BE8">
        <w:rPr>
          <w:b/>
          <w:sz w:val="24"/>
        </w:rPr>
        <w:t>Resultados</w:t>
      </w:r>
    </w:p>
    <w:p w14:paraId="45493F7F" w14:textId="77704E80" w:rsidR="00DE4EA8" w:rsidRPr="00C64BE8" w:rsidRDefault="00DE4EA8" w:rsidP="009D782A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sz w:val="24"/>
        </w:rPr>
      </w:pPr>
      <w:r w:rsidRPr="00C64BE8">
        <w:rPr>
          <w:sz w:val="24"/>
        </w:rPr>
        <w:t>El ranking clasific</w:t>
      </w:r>
      <w:r w:rsidR="00FA08BD" w:rsidRPr="00C64BE8">
        <w:rPr>
          <w:sz w:val="24"/>
        </w:rPr>
        <w:t xml:space="preserve">a a las </w:t>
      </w:r>
      <w:r w:rsidRPr="00C64BE8">
        <w:rPr>
          <w:sz w:val="24"/>
        </w:rPr>
        <w:t xml:space="preserve">50 universidades </w:t>
      </w:r>
      <w:r w:rsidR="00FA08BD" w:rsidRPr="00C64BE8">
        <w:rPr>
          <w:sz w:val="24"/>
        </w:rPr>
        <w:t>del país</w:t>
      </w:r>
      <w:r w:rsidRPr="00C64BE8">
        <w:rPr>
          <w:sz w:val="24"/>
        </w:rPr>
        <w:t xml:space="preserve">, </w:t>
      </w:r>
      <w:r w:rsidR="00FA08BD" w:rsidRPr="00C64BE8">
        <w:rPr>
          <w:sz w:val="24"/>
        </w:rPr>
        <w:t xml:space="preserve">conforme al índice de calidad elaborado por el ranking AméricaEconomía, </w:t>
      </w:r>
      <w:r w:rsidRPr="00C64BE8">
        <w:rPr>
          <w:sz w:val="24"/>
        </w:rPr>
        <w:t>a continuación se presentan los resultados de los puntajes obtenidos en los diferentes indicadores.</w:t>
      </w:r>
    </w:p>
    <w:p w14:paraId="6C99045C" w14:textId="77777777" w:rsidR="00DE4EA8" w:rsidRPr="00C64BE8" w:rsidRDefault="00DE4EA8" w:rsidP="009D782A">
      <w:pPr>
        <w:pStyle w:val="Prrafodelista"/>
        <w:spacing w:after="0" w:line="240" w:lineRule="auto"/>
        <w:jc w:val="both"/>
        <w:rPr>
          <w:sz w:val="24"/>
        </w:rPr>
      </w:pPr>
    </w:p>
    <w:tbl>
      <w:tblPr>
        <w:tblW w:w="118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5"/>
        <w:gridCol w:w="851"/>
        <w:gridCol w:w="708"/>
        <w:gridCol w:w="1032"/>
        <w:gridCol w:w="721"/>
        <w:gridCol w:w="850"/>
        <w:gridCol w:w="1411"/>
        <w:gridCol w:w="1088"/>
        <w:gridCol w:w="910"/>
        <w:gridCol w:w="21"/>
      </w:tblGrid>
      <w:tr w:rsidR="00FA08BD" w:rsidRPr="00C64BE8" w14:paraId="4675B805" w14:textId="77777777" w:rsidTr="00EF7A5E">
        <w:trPr>
          <w:trHeight w:val="213"/>
          <w:tblHeader/>
          <w:jc w:val="center"/>
        </w:trPr>
        <w:tc>
          <w:tcPr>
            <w:tcW w:w="11846" w:type="dxa"/>
            <w:gridSpan w:val="11"/>
            <w:tcBorders>
              <w:bottom w:val="single" w:sz="4" w:space="0" w:color="auto"/>
            </w:tcBorders>
          </w:tcPr>
          <w:p w14:paraId="7CFE6500" w14:textId="53F38018" w:rsidR="00FA08BD" w:rsidRPr="00C64BE8" w:rsidRDefault="00AD7417" w:rsidP="00FA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</w:pPr>
            <w:r w:rsidRPr="00C64BE8"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  <w:t>Tabla 1</w:t>
            </w:r>
            <w:r w:rsidR="00FA08BD" w:rsidRPr="00C64BE8"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  <w:t>. Posición de las universidades en el ranking de las mejores universidades de México (América Economía), 2019.</w:t>
            </w:r>
          </w:p>
        </w:tc>
      </w:tr>
      <w:tr w:rsidR="00FA08BD" w:rsidRPr="00C64BE8" w14:paraId="1020A929" w14:textId="77777777" w:rsidTr="00EF7A5E">
        <w:trPr>
          <w:gridAfter w:val="1"/>
          <w:wAfter w:w="21" w:type="dxa"/>
          <w:trHeight w:val="27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217DF2" w14:textId="77777777" w:rsidR="00FA08BD" w:rsidRPr="00C64BE8" w:rsidRDefault="00FA08BD" w:rsidP="00FA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Posición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E9767E" w14:textId="77777777" w:rsidR="00FA08BD" w:rsidRPr="00C64BE8" w:rsidRDefault="00FA08BD" w:rsidP="00FA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Institución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F73A7DA" w14:textId="77777777" w:rsidR="00FA08BD" w:rsidRPr="00C64BE8" w:rsidRDefault="00FA08BD" w:rsidP="00FA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Índice de Calidad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FB1537" w14:textId="77777777" w:rsidR="00FA08BD" w:rsidRPr="00C64BE8" w:rsidRDefault="00FA08BD" w:rsidP="00FA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Calidad Docente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69893D" w14:textId="77777777" w:rsidR="00FA08BD" w:rsidRPr="00C64BE8" w:rsidRDefault="00FA08BD" w:rsidP="00FA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Investigación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11" w:type="dxa"/>
              <w:right w:w="11" w:type="dxa"/>
            </w:tcMar>
            <w:vAlign w:val="center"/>
            <w:hideMark/>
          </w:tcPr>
          <w:p w14:paraId="6CC2D415" w14:textId="77777777" w:rsidR="00FA08BD" w:rsidRPr="00C64BE8" w:rsidRDefault="00FA08BD" w:rsidP="00FA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Prestigio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94F2231" w14:textId="77777777" w:rsidR="00FA08BD" w:rsidRPr="00C64BE8" w:rsidRDefault="00FA08BD" w:rsidP="00FA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Oferta de Posgrado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BDF6F51" w14:textId="77777777" w:rsidR="00FA08BD" w:rsidRPr="00C64BE8" w:rsidRDefault="00FA08BD" w:rsidP="00FA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s-MX"/>
              </w:rPr>
              <w:t>Internacionalización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BE5524" w14:textId="77777777" w:rsidR="00FA08BD" w:rsidRPr="00C64BE8" w:rsidRDefault="00FA08BD" w:rsidP="00FA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Acreditación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D4E9F7" w14:textId="77777777" w:rsidR="00FA08BD" w:rsidRPr="00C64BE8" w:rsidRDefault="00FA08BD" w:rsidP="00FA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Inclusión y Diversidad</w:t>
            </w:r>
          </w:p>
        </w:tc>
      </w:tr>
      <w:tr w:rsidR="00FA08BD" w:rsidRPr="00C64BE8" w14:paraId="5D12C72E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64A42" w14:textId="5D1D9D5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0F1" w14:textId="2940A1A2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Nacional Autónoma de México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04A9" w14:textId="7F794D8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8956" w14:textId="6BA105B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59.6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55BA" w14:textId="1B663D0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100.0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94DC" w14:textId="3C407B9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6D69" w14:textId="10D1B98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4128" w14:textId="58C744E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98.0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72D2" w14:textId="6FAC7D4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76.9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D395" w14:textId="47501C8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80.1</w:t>
            </w:r>
          </w:p>
        </w:tc>
      </w:tr>
      <w:tr w:rsidR="00FA08BD" w:rsidRPr="00C64BE8" w14:paraId="50E210D1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4701790" w14:textId="67638FB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B44BFB6" w14:textId="2F858F28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Instituto Tecnológico y de Estudios Superiores de Monterrey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7B7F23" w14:textId="45A27D4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78.67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C92945" w14:textId="05ADA56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60.6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B4127D1" w14:textId="71AF1D4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84.9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A1380B" w14:textId="660259B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EFE3E7" w14:textId="0337F11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49.9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A06C997" w14:textId="1428904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100.0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1709A4C" w14:textId="733442A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100.0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DC136C" w14:textId="36EE9E8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70.3</w:t>
            </w:r>
          </w:p>
        </w:tc>
      </w:tr>
      <w:tr w:rsidR="00FA08BD" w:rsidRPr="00C64BE8" w14:paraId="5B61CEBE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C0210" w14:textId="7B442CA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D503" w14:textId="31D1BA10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Instituto Politécnico Nacional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AC94" w14:textId="0EC80C9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76.28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9776" w14:textId="2B98DE1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59.4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60B6" w14:textId="228C214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92.9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ED9A" w14:textId="74E4B27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EB5C" w14:textId="049F340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88.0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0E06" w14:textId="6A9B694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86.4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E1B6" w14:textId="67228AE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53.5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BB51" w14:textId="3336BB8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49.2</w:t>
            </w:r>
          </w:p>
        </w:tc>
      </w:tr>
      <w:tr w:rsidR="00FA08BD" w:rsidRPr="00C64BE8" w14:paraId="7E6E8B20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453154" w14:textId="55C4B8B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3824958" w14:textId="55DBCB0F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Metropolitana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48909" w14:textId="631F92F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71.16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84A16D3" w14:textId="4D56A3C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83.6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5AA6E5" w14:textId="0FD658D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74.3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C17DFA" w14:textId="2D1B35D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0AB10A" w14:textId="07EDCEC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78.9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836C8F0" w14:textId="492369C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78.0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C78637" w14:textId="6E9F142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33.4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74BC75" w14:textId="67D4C97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72.1</w:t>
            </w:r>
          </w:p>
        </w:tc>
      </w:tr>
      <w:tr w:rsidR="00FA08BD" w:rsidRPr="00C64BE8" w14:paraId="3CAF6BA8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C346C" w14:textId="6943094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FF5C" w14:textId="6C09D0B8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de Guadalajara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2419" w14:textId="6061EB1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69.89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84FB" w14:textId="27848B5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77.3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9057" w14:textId="22E2C5C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58.0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1686" w14:textId="70CB159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E001" w14:textId="3A087D6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95.5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7197" w14:textId="72BFA4C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78.2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5E90" w14:textId="3D20F6E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82.2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7057" w14:textId="34ADC88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100.0</w:t>
            </w:r>
          </w:p>
        </w:tc>
      </w:tr>
      <w:tr w:rsidR="00FA08BD" w:rsidRPr="00C64BE8" w14:paraId="3286BC19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0C1F2C2" w14:textId="09F2A22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8AD771" w14:textId="4F990D9E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de Las Américas Puebla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77D129" w14:textId="694A095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67.08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79FD3D4" w14:textId="5855A3A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98E6638" w14:textId="68731A7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53.6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6F47C5C" w14:textId="22CB7CA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53C5BD" w14:textId="7379232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4D5C837" w14:textId="0947446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80.9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86EB6AD" w14:textId="0E17C8D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90.0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A62FCBE" w14:textId="417F792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90.2</w:t>
            </w:r>
          </w:p>
        </w:tc>
      </w:tr>
      <w:tr w:rsidR="00FA08BD" w:rsidRPr="00C64BE8" w14:paraId="65FE37F0" w14:textId="77777777" w:rsidTr="00EF7A5E">
        <w:trPr>
          <w:gridAfter w:val="1"/>
          <w:wAfter w:w="21" w:type="dxa"/>
          <w:trHeight w:val="2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AD1F6" w14:textId="5258943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C420" w14:textId="3DAC3A18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El Colegio de México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DFE8" w14:textId="2242B94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66.33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B0C8" w14:textId="74CAF09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B8E7" w14:textId="287CF79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20.3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645E" w14:textId="5D327BB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13BB" w14:textId="74C1405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67.7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E5DE" w14:textId="34CD7B0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84.0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6D03" w14:textId="49F4C0E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51.5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CD21" w14:textId="4D98910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75.8</w:t>
            </w:r>
          </w:p>
        </w:tc>
      </w:tr>
      <w:tr w:rsidR="00FA08BD" w:rsidRPr="00C64BE8" w14:paraId="2EEA0E51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4B4E0EE" w14:textId="71011EE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A25F623" w14:textId="133D8071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Benemérita Universidad Autónoma de Puebla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6050DD" w14:textId="705BCF3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62.71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30B1850" w14:textId="0D2A061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62.7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BB0696F" w14:textId="203788E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75.1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C9C641" w14:textId="0D8CC24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C77A11" w14:textId="6C05803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68.2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A29878" w14:textId="2A13E1A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68.4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7C01993" w14:textId="57C53F5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62.6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FA1D80B" w14:textId="451C3E8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86.0</w:t>
            </w:r>
          </w:p>
        </w:tc>
      </w:tr>
      <w:tr w:rsidR="00FA08BD" w:rsidRPr="00C64BE8" w14:paraId="16D8CB78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3F7B0" w14:textId="6798A5C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18F8" w14:textId="39751ABC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Chapingo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A981" w14:textId="719160D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61.47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714F" w14:textId="713DC44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86.8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CD6C" w14:textId="699F57B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56.5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8D64" w14:textId="20F500C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F10D" w14:textId="722C222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52.5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2A48" w14:textId="2226BA5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60.3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EC97" w14:textId="42C7477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50.9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2DED" w14:textId="720C777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71.5</w:t>
            </w:r>
          </w:p>
        </w:tc>
      </w:tr>
      <w:tr w:rsidR="00FA08BD" w:rsidRPr="00C64BE8" w14:paraId="2BBAAE0F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602836D" w14:textId="6350F48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978B55A" w14:textId="5C8F742A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Iberoamericana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D225D9" w14:textId="16EA621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702BBE3" w14:textId="38C158E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EEED4C" w14:textId="6C7B91B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64.5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F1263C9" w14:textId="5B93165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F8AF481" w14:textId="34CCEC3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49.6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0D2D493" w14:textId="348F917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76.0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331F1D4" w14:textId="02CC49A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55.0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17378C" w14:textId="7231D00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91.8</w:t>
            </w:r>
          </w:p>
        </w:tc>
      </w:tr>
      <w:tr w:rsidR="00FA08BD" w:rsidRPr="00C64BE8" w14:paraId="1C53D4FC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431C4" w14:textId="7C065FE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0E83" w14:textId="06684F3F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Nuevo León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770D" w14:textId="025A3AF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59.43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2827" w14:textId="5A95FAF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62.4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58E1" w14:textId="46CA982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75.0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7B30" w14:textId="653BCB4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DD44" w14:textId="41F2956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79.3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6B12" w14:textId="125B2B4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57.3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6490" w14:textId="4E97EA8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72.9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A5AE" w14:textId="350C3B0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20.0</w:t>
            </w:r>
          </w:p>
        </w:tc>
      </w:tr>
      <w:tr w:rsidR="00FA08BD" w:rsidRPr="00C64BE8" w14:paraId="37ADE326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71E9A0B" w14:textId="3141E93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08714F" w14:textId="6AB4CB26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de Guanajuato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EFD151" w14:textId="40F60B1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57.80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3E06A9" w14:textId="3A14969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65.2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927383" w14:textId="42E14CB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67.6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0663492" w14:textId="58499F2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BFB7F90" w14:textId="1B6AEF9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67.3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A596578" w14:textId="707525B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70.5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296823C" w14:textId="5935362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47.9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30F293D" w14:textId="696C1B8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56.7</w:t>
            </w:r>
          </w:p>
        </w:tc>
      </w:tr>
      <w:tr w:rsidR="00FA08BD" w:rsidRPr="00C64BE8" w14:paraId="2BA19C5B" w14:textId="77777777" w:rsidTr="00EF7A5E">
        <w:trPr>
          <w:gridAfter w:val="1"/>
          <w:wAfter w:w="21" w:type="dxa"/>
          <w:trHeight w:val="2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0086A" w14:textId="73684F2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9BA8" w14:textId="34E2518A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Veracruzana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4B01" w14:textId="4310426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56.62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506F" w14:textId="61D13C6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68.2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A1D1" w14:textId="3306BEA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46.1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B38E" w14:textId="24CC6C2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2654" w14:textId="515DCE1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66.3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32E4" w14:textId="16B80B7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66.4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2E84" w14:textId="2D9DB10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84.6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680D" w14:textId="159CFB4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69.7</w:t>
            </w:r>
          </w:p>
        </w:tc>
      </w:tr>
      <w:tr w:rsidR="00FA08BD" w:rsidRPr="00C64BE8" w14:paraId="3115CAD4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1F81C88" w14:textId="4260092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66B8690" w14:textId="695EE1B7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de Sonora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163793" w14:textId="5DE324A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55.94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5EE682" w14:textId="6E01906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67.0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BDD67A" w14:textId="4D0D9DA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57.8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D9EA93" w14:textId="1E66E32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808E498" w14:textId="6C25C2F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54.2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83650DD" w14:textId="7FB619A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64.2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6C93096" w14:textId="08023ED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67.3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59BF88" w14:textId="5931494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94.2</w:t>
            </w:r>
          </w:p>
        </w:tc>
      </w:tr>
      <w:tr w:rsidR="00FA08BD" w:rsidRPr="00C64BE8" w14:paraId="29266A79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2FBC3" w14:textId="52D4B86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2C06" w14:textId="7806075D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Agraria Antonio Narro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C743" w14:textId="604F4E6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54.29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0A2B" w14:textId="5D805FD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79.6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C946" w14:textId="20E8EC4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56.3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3802" w14:textId="22BD5CB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5355" w14:textId="559A10F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37.3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BCF8" w14:textId="128AFBE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47.0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65D0" w14:textId="78EE8AA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78.5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AFCE" w14:textId="724A42A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64.2</w:t>
            </w:r>
          </w:p>
        </w:tc>
      </w:tr>
      <w:tr w:rsidR="00FA08BD" w:rsidRPr="00C64BE8" w14:paraId="08EBF7A0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1CF685E" w14:textId="25EB984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E3B1C5" w14:textId="1A556B7B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del Estado de México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27A151" w14:textId="02304F7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53.70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9647698" w14:textId="126586C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49.3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E267AB7" w14:textId="5BF09ED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54.0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3E7BA0" w14:textId="390A9C6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1964FF" w14:textId="6720319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67.8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E444321" w14:textId="591BD4A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69.8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D0478B" w14:textId="1BB9361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75.9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0557165" w14:textId="2B5C4DF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88.0</w:t>
            </w:r>
          </w:p>
        </w:tc>
      </w:tr>
      <w:tr w:rsidR="00FA08BD" w:rsidRPr="00C64BE8" w14:paraId="7679CE1A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776FC" w14:textId="0F27FF7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94C9" w14:textId="0C80EA1A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Anáhuac - México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CACC" w14:textId="48A1A7C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52.49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BD9D" w14:textId="7CAF8B2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69.5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1124" w14:textId="757A915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31.1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7B81" w14:textId="7A27852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CD24" w14:textId="592C50C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D0A5" w14:textId="1423EF3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66.5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195D" w14:textId="419D9DD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89.7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F34E" w14:textId="56BC770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80.7</w:t>
            </w:r>
          </w:p>
        </w:tc>
      </w:tr>
      <w:tr w:rsidR="00FA08BD" w:rsidRPr="00C64BE8" w14:paraId="3038DC11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E4A253" w14:textId="172E228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3340CC4" w14:textId="5A09085A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Instituto Tecnológico Autónomo de México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DA8109" w14:textId="222456A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51.48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951B33" w14:textId="671DF0E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57.8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64140B5" w14:textId="02AFC7C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25.6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05C16AE" w14:textId="2C8EF7E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7DECA28" w14:textId="03CA1D8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12.7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8FE3C2A" w14:textId="7BDAEFF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89.8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571D14" w14:textId="193504F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17.3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50371FD" w14:textId="220B512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57.5</w:t>
            </w:r>
          </w:p>
        </w:tc>
      </w:tr>
      <w:tr w:rsidR="00FA08BD" w:rsidRPr="00C64BE8" w14:paraId="0E53F603" w14:textId="77777777" w:rsidTr="00EF7A5E">
        <w:trPr>
          <w:gridAfter w:val="1"/>
          <w:wAfter w:w="21" w:type="dxa"/>
          <w:trHeight w:val="2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F33E6" w14:textId="27359A4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A91E" w14:textId="27924727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Baja California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9DF8" w14:textId="1D62CD9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51.39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042B" w14:textId="7275C43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51.5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ADA1" w14:textId="2AF4575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55.0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C252" w14:textId="7AC70EF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8C8C" w14:textId="41956D8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56.0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98A5" w14:textId="1C97813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62.3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DE36" w14:textId="7B4555D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83.2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A983" w14:textId="2DFB667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86.1</w:t>
            </w:r>
          </w:p>
        </w:tc>
      </w:tr>
      <w:tr w:rsidR="00FA08BD" w:rsidRPr="00C64BE8" w14:paraId="655C18FA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6118863" w14:textId="2097783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AA19C1" w14:textId="31C07092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de Colima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AAC824" w14:textId="2B488CE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49.95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CD14C7" w14:textId="1951978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59.3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5A2C7F9" w14:textId="6A2F500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53.3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0DE5F57" w14:textId="341D7CD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DFC7C2D" w14:textId="6A4B710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50.4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A348FA7" w14:textId="6B3C6F2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60.2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77FA8B" w14:textId="088172A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62.7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D39086" w14:textId="6917525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64.7</w:t>
            </w:r>
          </w:p>
        </w:tc>
      </w:tr>
      <w:tr w:rsidR="00FA08BD" w:rsidRPr="00C64BE8" w14:paraId="3E77B48C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726C8" w14:textId="3EBEDB3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9913" w14:textId="3EAB5CDE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Michoacana de San Nicolás de Hidalgo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669D" w14:textId="33B4A09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49.27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607E" w14:textId="33811AB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56.8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71E2" w14:textId="7AEACD3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57.7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8FBF" w14:textId="1CCFEF6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3F0B" w14:textId="701F36D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69.5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6CBA" w14:textId="78872DA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52.7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EC58" w14:textId="74EEE97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60.1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BE76" w14:textId="0C800C1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20.0</w:t>
            </w:r>
          </w:p>
        </w:tc>
      </w:tr>
      <w:tr w:rsidR="00FA08BD" w:rsidRPr="00C64BE8" w14:paraId="3EC27EA3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156261F" w14:textId="275CCAA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1011CC6" w14:textId="4F168398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Juárez Autónoma de Tabasco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B9A389" w14:textId="4395CBD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49.26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C37CCF" w14:textId="64B9B1D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58.4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497FA53" w14:textId="42E8BB4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50.5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6B1600" w14:textId="75649C4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37BB4B" w14:textId="2FCB5C2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51.4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D18F60E" w14:textId="279C203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58.1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A42757" w14:textId="2B8C86B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71.8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1860D8B" w14:textId="4919F9A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67.9</w:t>
            </w:r>
          </w:p>
        </w:tc>
      </w:tr>
      <w:tr w:rsidR="00FA08BD" w:rsidRPr="00C64BE8" w14:paraId="68CA3CBD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117D8" w14:textId="048BFC6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9122" w14:textId="2DC33AFB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San Luis Potosí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B320" w14:textId="69E4D47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48.88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8A12" w14:textId="0AB72AB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62.6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BE44" w14:textId="2FEDF69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52.5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0C80" w14:textId="57199F0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3D27" w14:textId="0CF599E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64.9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D2EA" w14:textId="451E9AD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51.5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3B5E" w14:textId="42264AF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53.6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4F40" w14:textId="52160BE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20.0</w:t>
            </w:r>
          </w:p>
        </w:tc>
      </w:tr>
      <w:tr w:rsidR="00FA08BD" w:rsidRPr="00C64BE8" w14:paraId="68EBBE0D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1890D7B" w14:textId="32D30BD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1D6F3F5" w14:textId="35BA8414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Sinaloa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59FAC2" w14:textId="0EC7C33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48.77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CF5CEF3" w14:textId="20990C0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51.2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D111E63" w14:textId="2A6FCD8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54.7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4C79B33" w14:textId="1E2C6B1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899C833" w14:textId="291624C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52.7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A209BF" w14:textId="518DE00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60.0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95CA738" w14:textId="4AD932E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61.3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2881071" w14:textId="0983B6F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75.9</w:t>
            </w:r>
          </w:p>
        </w:tc>
      </w:tr>
      <w:tr w:rsidR="00FA08BD" w:rsidRPr="00C64BE8" w14:paraId="275A5E8C" w14:textId="77777777" w:rsidTr="00EF7A5E">
        <w:trPr>
          <w:gridAfter w:val="1"/>
          <w:wAfter w:w="21" w:type="dxa"/>
          <w:trHeight w:val="2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6F46E" w14:textId="1D1002A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F587" w14:textId="0A423BA7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Ciudad Juárez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2683" w14:textId="29F722A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47.65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7410" w14:textId="08F82D5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55.0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690C" w14:textId="33F12F7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39.7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C607" w14:textId="46B5AFA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DE20" w14:textId="432197C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46.7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3475" w14:textId="7AC97B6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58.9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6D9B" w14:textId="1E8FCF6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85.8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ABF2" w14:textId="0E15344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85.7</w:t>
            </w:r>
          </w:p>
        </w:tc>
      </w:tr>
      <w:tr w:rsidR="00FA08BD" w:rsidRPr="00C64BE8" w14:paraId="5951B41D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E9EF75" w14:textId="5E83840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944A19" w14:textId="766CBA29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Querétaro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EB7ED2" w14:textId="442EAAE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47.42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6CFAAE" w14:textId="4D5E80D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53.3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D9CE7C" w14:textId="3D81585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51.0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6D34CC2" w14:textId="2626460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3345C8E" w14:textId="2559B7F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60.9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CFA8A0" w14:textId="7DF3396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55.2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B84D179" w14:textId="76EDE08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32.9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164F682" w14:textId="1ECACF2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77.6</w:t>
            </w:r>
          </w:p>
        </w:tc>
      </w:tr>
      <w:tr w:rsidR="00FA08BD" w:rsidRPr="00C64BE8" w14:paraId="34679A68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7A30A" w14:textId="657971E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lastRenderedPageBreak/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7CB1" w14:textId="0BB03105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Instituto Tecnológico y de Estudios Superiores de Occidente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65C5" w14:textId="409E7D6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47.41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1DBE" w14:textId="1B3D0D4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46.4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E083" w14:textId="1032BC6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38.9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B6F1" w14:textId="0573697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FB9E" w14:textId="37A1686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42.1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9B7D" w14:textId="462EE20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66.2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E201" w14:textId="0FA2F42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70.0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00CD" w14:textId="797C3C9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88.7</w:t>
            </w:r>
          </w:p>
        </w:tc>
      </w:tr>
      <w:tr w:rsidR="00FA08BD" w:rsidRPr="00C64BE8" w14:paraId="3976902F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59B4AD9" w14:textId="2E2CC22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19309C0" w14:textId="0620F144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Popular Autónoma del Estado de Puebla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9D6F3" w14:textId="38D47FC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46.58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E81E10" w14:textId="4B374A2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49.1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4D63A55" w14:textId="232508A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46.0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988A5A5" w14:textId="5ECA790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4791D2" w14:textId="1892443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40.0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6B1E7D3" w14:textId="3E4F7B5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60.4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176EE1" w14:textId="0A3BD3D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61.9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0596C9" w14:textId="343B602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93.1</w:t>
            </w:r>
          </w:p>
        </w:tc>
      </w:tr>
      <w:tr w:rsidR="00FA08BD" w:rsidRPr="00C64BE8" w14:paraId="309FCC3B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63BE2" w14:textId="64E5CCE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1AA6" w14:textId="4F69C563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de Monterrey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526F" w14:textId="44A12CE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46.50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372D" w14:textId="764469D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68.0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A4CB" w14:textId="399E3C3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30.4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EBB7" w14:textId="067910C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C1DD" w14:textId="6D85735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3B30" w14:textId="33A7A52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63.6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7C9A" w14:textId="4177B87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42.3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E374" w14:textId="28EB706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84.9</w:t>
            </w:r>
          </w:p>
        </w:tc>
      </w:tr>
      <w:tr w:rsidR="00FA08BD" w:rsidRPr="00C64BE8" w14:paraId="4A94D125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6ACD45" w14:textId="6B44502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551C81B" w14:textId="36C494A2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Tamaulipas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7666FC" w14:textId="2E86CD0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45.95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259ADB6" w14:textId="0473D4D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57.9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569E2A1" w14:textId="6AB9136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46.7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280737" w14:textId="5929FAF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CA9A2D2" w14:textId="3A8E619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44.4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D823F7" w14:textId="0343127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58.9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8E86DC2" w14:textId="3F26FCB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32.8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C779B4" w14:textId="55BA1B3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65.8</w:t>
            </w:r>
          </w:p>
        </w:tc>
      </w:tr>
      <w:tr w:rsidR="00FA08BD" w:rsidRPr="00C64BE8" w14:paraId="6B5BE180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861B7" w14:textId="5FB35EA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8B31" w14:textId="27C643CE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la Ciudad de México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84E1" w14:textId="283238E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45.78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A0C7" w14:textId="29BEC1E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81.5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C17D" w14:textId="1622752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39.3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D864" w14:textId="42F5C4D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3118" w14:textId="698C69B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12.6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4B78" w14:textId="4AC102A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42.9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2E10" w14:textId="6990753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0.0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CBD7" w14:textId="65EDE56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65.7</w:t>
            </w:r>
          </w:p>
        </w:tc>
      </w:tr>
      <w:tr w:rsidR="00FA08BD" w:rsidRPr="00C64BE8" w14:paraId="2131BC67" w14:textId="77777777" w:rsidTr="00EF7A5E">
        <w:trPr>
          <w:gridAfter w:val="1"/>
          <w:wAfter w:w="21" w:type="dxa"/>
          <w:trHeight w:val="2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EE6E901" w14:textId="72863DC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85AECB" w14:textId="7C23EB55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del Estado de Hidalgo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F7D03" w14:textId="6AF3770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45.52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5BB98B5" w14:textId="19293B2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44.1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8DE2F92" w14:textId="5DCE2BD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58.6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D3C961" w14:textId="4974C28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E18A2B" w14:textId="1F58873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49.1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07E7E3E" w14:textId="2247593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58.8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FBDFC91" w14:textId="26355FF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22.6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68F4407" w14:textId="68AFD5F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89.0</w:t>
            </w:r>
          </w:p>
        </w:tc>
      </w:tr>
      <w:tr w:rsidR="00FA08BD" w:rsidRPr="00C64BE8" w14:paraId="709DBFB5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57890" w14:textId="3CB0E80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E82E" w14:textId="69C3542C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del Estado de Morelos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0B91" w14:textId="05811C3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44.89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B83B" w14:textId="45232F1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43.8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8155" w14:textId="71D31E8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58.9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61CF" w14:textId="4B48488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2A6C" w14:textId="2F13A1E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6479" w14:textId="1F364D7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56.5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5DBC" w14:textId="0145C8F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21.4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BEBB" w14:textId="6D3A4D5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85.4</w:t>
            </w:r>
          </w:p>
        </w:tc>
      </w:tr>
      <w:tr w:rsidR="00FA08BD" w:rsidRPr="00C64BE8" w14:paraId="2878BF74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D0704C" w14:textId="70B5FE9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710307" w14:textId="10F5A3BB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Coahuila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E0148" w14:textId="3A96F68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44.86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9D3E38C" w14:textId="4C7D733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53.5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CD5B22" w14:textId="03B9BF5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48.6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12E0921" w14:textId="07EEA64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2138C4" w14:textId="696DCFA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42.0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B8B81C2" w14:textId="34C5108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58.9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1FDBF0D" w14:textId="07185F2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41.5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972BD1" w14:textId="4D07B0B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65.3</w:t>
            </w:r>
          </w:p>
        </w:tc>
      </w:tr>
      <w:tr w:rsidR="00FA08BD" w:rsidRPr="00C64BE8" w14:paraId="3C7BA4D4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58667" w14:textId="3B1329E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FF46" w14:textId="0908103F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Zacatecas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02CF" w14:textId="068A136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44.68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ABFE" w14:textId="7A17598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72.5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2595" w14:textId="6CD2FE6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24.8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BE24" w14:textId="7576148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2C0A" w14:textId="4DFE3C8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45.8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67FB" w14:textId="2D6618B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49.4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D4D5" w14:textId="40CFB58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46.5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E89E" w14:textId="7B73854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56.8</w:t>
            </w:r>
          </w:p>
        </w:tc>
      </w:tr>
      <w:tr w:rsidR="00FA08BD" w:rsidRPr="00C64BE8" w14:paraId="3A41EE2C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6F3207" w14:textId="19CC1BE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DF2EA7" w14:textId="1563F7D0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Chiapas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0D9D1A" w14:textId="43139E9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44.46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50BF84" w14:textId="62B774F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54.3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CD01952" w14:textId="330E584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41.2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6684DFB" w14:textId="485E93D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A84854D" w14:textId="6F5B2B7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36.2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FAC31F" w14:textId="17A0996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52.6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71C68AF" w14:textId="0729DE6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67.7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E8D50B" w14:textId="6C461B6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83.5</w:t>
            </w:r>
          </w:p>
        </w:tc>
      </w:tr>
      <w:tr w:rsidR="00FA08BD" w:rsidRPr="00C64BE8" w14:paraId="55537409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AEC79" w14:textId="58959C7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934E" w14:textId="7EA0C35E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Campeche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DC4" w14:textId="7873DF3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44.15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074A" w14:textId="10461FF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58.7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9FD7" w14:textId="6D44ED0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47.0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D28D" w14:textId="0845ABB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1DB9" w14:textId="73D854E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33.9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2C62" w14:textId="4D3D22B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47.8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6DD7" w14:textId="3D68A9F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47.3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9A76" w14:textId="734CE4A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69.1</w:t>
            </w:r>
          </w:p>
        </w:tc>
      </w:tr>
      <w:tr w:rsidR="00FA08BD" w:rsidRPr="00C64BE8" w14:paraId="75CE2945" w14:textId="77777777" w:rsidTr="00EF7A5E">
        <w:trPr>
          <w:gridAfter w:val="1"/>
          <w:wAfter w:w="21" w:type="dxa"/>
          <w:trHeight w:val="2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976EEF" w14:textId="67EDEEC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587B5B8" w14:textId="37269F82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Yucatán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532717" w14:textId="0485EA4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0F6FA1" w14:textId="2078AE6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53.4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A3A37E6" w14:textId="50C8A49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55.9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67F462E" w14:textId="3C5F7E5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B3FB19" w14:textId="367E93A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44.9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2B4C440" w14:textId="30F2D1B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48.2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BD9A0BF" w14:textId="6E64633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59.1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6F87C87" w14:textId="1C3E6FD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20.0</w:t>
            </w:r>
          </w:p>
        </w:tc>
      </w:tr>
      <w:tr w:rsidR="00FA08BD" w:rsidRPr="00C64BE8" w14:paraId="41E3F646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2414B" w14:textId="2254B27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8C39" w14:textId="264F5DA4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Panamericana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4677" w14:textId="4DC8315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43.81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2DD1" w14:textId="1419015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54.6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8058" w14:textId="1E55255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18.7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8C81" w14:textId="438595E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1738" w14:textId="76D493F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19.0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7778" w14:textId="543D246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70.7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EBF2" w14:textId="48AB3E5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40.3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62FB" w14:textId="6C837A2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73.3</w:t>
            </w:r>
          </w:p>
        </w:tc>
      </w:tr>
      <w:tr w:rsidR="00FA08BD" w:rsidRPr="00C64BE8" w14:paraId="3C88191E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6BB305" w14:textId="0AF20F4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BBFAD9D" w14:textId="5FC219DD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Chihuahua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746855" w14:textId="3F9217E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42.85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3D347F1" w14:textId="62AC47F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47.7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B7BB1D4" w14:textId="0650FAE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38.4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3620495" w14:textId="6BB5A67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25697A0" w14:textId="32C0E2F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46.2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03CA9C" w14:textId="2CCF608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51.2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F80BBAE" w14:textId="2AB6726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55.4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8ACE98A" w14:textId="3450D4E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86.4</w:t>
            </w:r>
          </w:p>
        </w:tc>
      </w:tr>
      <w:tr w:rsidR="00FA08BD" w:rsidRPr="00C64BE8" w14:paraId="7B94E061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86066" w14:textId="1C0588A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145B" w14:textId="346712BF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Nayarit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9EBB" w14:textId="45A07BC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41.88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4432" w14:textId="38B99E1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61.0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3151" w14:textId="43F3C56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24.1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D3B5" w14:textId="79E8FED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9416" w14:textId="7A84A88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39.0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AE7C" w14:textId="4E427F7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47.7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C87B" w14:textId="6821B1A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75.7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D82C" w14:textId="6FA94C4D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65.5</w:t>
            </w:r>
          </w:p>
        </w:tc>
      </w:tr>
      <w:tr w:rsidR="00FA08BD" w:rsidRPr="00C64BE8" w14:paraId="6E8C8761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70E59F" w14:textId="4CE110B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25CC52" w14:textId="7146EC98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Guerrero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1C2B2D" w14:textId="15B6525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41.84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7B11878" w14:textId="0E81F26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59.6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0047323" w14:textId="2A3C491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27.0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5C1BA64" w14:textId="65CD70C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4185C68" w14:textId="156CE96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39.1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59DCD76" w14:textId="0E41C23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56.5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1DFECE1" w14:textId="0BC5B17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16.7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8F3260" w14:textId="3A36267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85.5</w:t>
            </w:r>
          </w:p>
        </w:tc>
      </w:tr>
      <w:tr w:rsidR="00FA08BD" w:rsidRPr="00C64BE8" w14:paraId="32C12EEA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293D8" w14:textId="4A6F070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85D5" w14:textId="48EF80CC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del Valle de México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757" w14:textId="0BB88AB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40.78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213" w14:textId="41AE823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41.5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8B46" w14:textId="5EC776B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46.8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FDAF" w14:textId="25221D6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E2C9" w14:textId="28CFBB5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2C68" w14:textId="44538D5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60.8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877F" w14:textId="54612E8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54.0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D467" w14:textId="2F438DB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58.7</w:t>
            </w:r>
          </w:p>
        </w:tc>
      </w:tr>
      <w:tr w:rsidR="00FA08BD" w:rsidRPr="00C64BE8" w14:paraId="32AFDE66" w14:textId="77777777" w:rsidTr="00EF7A5E">
        <w:trPr>
          <w:gridAfter w:val="1"/>
          <w:wAfter w:w="21" w:type="dxa"/>
          <w:trHeight w:val="2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8318307" w14:textId="4D9FC18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7C69F9" w14:textId="04D0260C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Pedagógica Nacional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FA6BC4" w14:textId="4050513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40.61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3053723" w14:textId="6448369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80.2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A211A00" w14:textId="416344F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9.2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2EF3523" w14:textId="185A09E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DD64FF7" w14:textId="513AD00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20.0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1C67ED0" w14:textId="584AEEE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43.3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FBC15C" w14:textId="4DBC491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0.0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335D16C" w14:textId="4B4CFF8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92.7</w:t>
            </w:r>
          </w:p>
        </w:tc>
      </w:tr>
      <w:tr w:rsidR="00FA08BD" w:rsidRPr="00C64BE8" w14:paraId="6796FCFE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3B172" w14:textId="63F2ACE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1357" w14:textId="6FE0578F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Tlaxcala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E1E5" w14:textId="0C8BFEE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009C" w14:textId="71BE20B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50.6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223C" w14:textId="25F99C3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23.0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2F2A" w14:textId="73EAC98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3028" w14:textId="1141972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43.6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3677" w14:textId="1C4FC699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54.9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3519" w14:textId="3B82ADDB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60.0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A698" w14:textId="1F546EF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80.2</w:t>
            </w:r>
          </w:p>
        </w:tc>
      </w:tr>
      <w:tr w:rsidR="00FA08BD" w:rsidRPr="00C64BE8" w14:paraId="646A61C1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6748C11" w14:textId="0531F3B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02E4250" w14:textId="272CFC6F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Instituto Tecnológico de Sonora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B2E49B" w14:textId="3313E79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39.39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F8FD95" w14:textId="1DA8D47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47.4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124E67E" w14:textId="70EAB03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24.4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AB2D70" w14:textId="76762A0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4FB0E55" w14:textId="2E3753D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37.7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61C6CC" w14:textId="1B983E5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60.0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8143382" w14:textId="3A9C644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69.8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08F34C" w14:textId="1CBFB50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54.9</w:t>
            </w:r>
          </w:p>
        </w:tc>
      </w:tr>
      <w:tr w:rsidR="00FA08BD" w:rsidRPr="00C64BE8" w14:paraId="02B92C01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51D53" w14:textId="018FF6E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EECA" w14:textId="0B00BCD7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Aguascalientes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9BF8" w14:textId="3659364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37.55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31D1" w14:textId="17854E8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48.5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E5A8" w14:textId="702165E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41.3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49DA" w14:textId="4C4F543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18A5" w14:textId="1A5EA138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49.3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53B9" w14:textId="3B5B8FA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47.6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BBA0" w14:textId="42A2B6E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10.4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8D51" w14:textId="774EE54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20.0</w:t>
            </w:r>
          </w:p>
        </w:tc>
      </w:tr>
      <w:tr w:rsidR="00FA08BD" w:rsidRPr="00C64BE8" w14:paraId="67FF46A5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D9D218" w14:textId="28BF95B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35DB140" w14:textId="58DF3FC2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del Carmen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659627" w14:textId="079DCAC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37.46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03E2EF6" w14:textId="4B77CFF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62.4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9C5036" w14:textId="4E72E52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37.1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3BDEDF9" w14:textId="28CD73D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85F58CE" w14:textId="6CE0D551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15.8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DE872A" w14:textId="08646DB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46.2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F4362B" w14:textId="0FD14DD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36.4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6CED648" w14:textId="6BA2D99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20.0</w:t>
            </w:r>
          </w:p>
        </w:tc>
      </w:tr>
      <w:tr w:rsidR="00FA08BD" w:rsidRPr="00C64BE8" w14:paraId="26CB648E" w14:textId="77777777" w:rsidTr="00EF7A5E">
        <w:trPr>
          <w:gridAfter w:val="1"/>
          <w:wAfter w:w="21" w:type="dxa"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61483" w14:textId="6183269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C6FF" w14:textId="7F6C3E80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Baja California Sur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0392" w14:textId="76A6B7EC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37.32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D732" w14:textId="74EAC9A6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43.8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8D3A" w14:textId="6E46DB5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34.7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D1D8" w14:textId="2F588F9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3B44" w14:textId="738858C2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38.7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537A" w14:textId="50C1F553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46.9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5CDD" w14:textId="3BED4BE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41.3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90A3" w14:textId="1985426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70.2</w:t>
            </w:r>
          </w:p>
        </w:tc>
      </w:tr>
      <w:tr w:rsidR="00FA08BD" w:rsidRPr="00C64BE8" w14:paraId="241B533D" w14:textId="77777777" w:rsidTr="00EF7A5E">
        <w:trPr>
          <w:gridAfter w:val="1"/>
          <w:wAfter w:w="21" w:type="dxa"/>
          <w:trHeight w:val="2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3DD5CEC" w14:textId="2850EAFE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E42B28F" w14:textId="4353E4FF" w:rsidR="00FA08BD" w:rsidRPr="00C64BE8" w:rsidRDefault="00FA08BD" w:rsidP="00FA08BD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Universidad Autónoma de Guadalajara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C8F636" w14:textId="0484D27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35.83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B9A3C6C" w14:textId="768C0D0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44.9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70CEE06" w14:textId="75DCBCE7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34.6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144081" w14:textId="3047D165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1FB9D63" w14:textId="4E38E3AF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18.0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CD190A5" w14:textId="7783A22A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52.5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EA6CDD3" w14:textId="0FF10D30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33.7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0331E39" w14:textId="2D939B84" w:rsidR="00FA08BD" w:rsidRPr="00C64BE8" w:rsidRDefault="00FA08BD" w:rsidP="00FA08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cstheme="minorHAnsi"/>
                <w:color w:val="000000"/>
                <w:sz w:val="16"/>
                <w:szCs w:val="18"/>
              </w:rPr>
              <w:t>20.0</w:t>
            </w:r>
          </w:p>
        </w:tc>
      </w:tr>
    </w:tbl>
    <w:p w14:paraId="4DDD50E9" w14:textId="77777777" w:rsidR="00FA08BD" w:rsidRPr="00C64BE8" w:rsidRDefault="00FA08BD" w:rsidP="009D782A">
      <w:pPr>
        <w:pStyle w:val="Prrafodelista"/>
        <w:spacing w:after="0" w:line="240" w:lineRule="auto"/>
        <w:jc w:val="both"/>
        <w:rPr>
          <w:sz w:val="24"/>
        </w:rPr>
      </w:pPr>
    </w:p>
    <w:p w14:paraId="6C5FCD82" w14:textId="62F11F98" w:rsidR="004F2B41" w:rsidRPr="00C64BE8" w:rsidRDefault="004F2B41" w:rsidP="004F2B41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sz w:val="24"/>
        </w:rPr>
      </w:pPr>
      <w:r w:rsidRPr="00C64BE8">
        <w:rPr>
          <w:sz w:val="24"/>
        </w:rPr>
        <w:t>La UNAM es la mejor universidad al obtener el más alto índice de calidad con un puntaje de 85.09, seguida por el Instituto Tecnológico y de Estudios Superiores de Monterrey (ITESM) con 78.67, el Instituto Politécnico Nacional (IPN) con 76.28, la Universidad Autónoma Metropolitana (UAM) con 71.16, y la Universidad de Guadalajara (UdeG) con 69.89.</w:t>
      </w:r>
    </w:p>
    <w:p w14:paraId="1447BBA6" w14:textId="77777777" w:rsidR="004F2B41" w:rsidRPr="00C64BE8" w:rsidRDefault="004F2B41" w:rsidP="004F2B41">
      <w:pPr>
        <w:spacing w:after="0" w:line="240" w:lineRule="auto"/>
        <w:jc w:val="both"/>
        <w:rPr>
          <w:sz w:val="24"/>
        </w:rPr>
      </w:pPr>
    </w:p>
    <w:p w14:paraId="62CDA962" w14:textId="77777777" w:rsidR="004F2B41" w:rsidRPr="00C64BE8" w:rsidRDefault="004F2B41" w:rsidP="004F2B41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sz w:val="24"/>
        </w:rPr>
      </w:pPr>
      <w:r w:rsidRPr="00C64BE8">
        <w:rPr>
          <w:sz w:val="24"/>
        </w:rPr>
        <w:t>Llama la atención que en los últimos 5 años, las primeras cuatro universidades clasificadas por el ranking han mantenido su posición: 1) UNAM, 2) ITESM, 3) IPN, y 5) UAM. Además, en las últimas tres ediciones del ranking las primeras cinco universidad han conservado su lugar en la clasificación.</w:t>
      </w:r>
    </w:p>
    <w:p w14:paraId="06E802AD" w14:textId="77777777" w:rsidR="004F2B41" w:rsidRPr="00C64BE8" w:rsidRDefault="004F2B41" w:rsidP="004F2B41">
      <w:pPr>
        <w:spacing w:after="0" w:line="240" w:lineRule="auto"/>
        <w:jc w:val="both"/>
        <w:rPr>
          <w:sz w:val="24"/>
        </w:rPr>
      </w:pPr>
    </w:p>
    <w:p w14:paraId="0489E779" w14:textId="77777777" w:rsidR="004F2B41" w:rsidRPr="00C64BE8" w:rsidRDefault="004F2B41" w:rsidP="004F2B41">
      <w:pPr>
        <w:spacing w:after="0" w:line="240" w:lineRule="auto"/>
        <w:jc w:val="both"/>
        <w:rPr>
          <w:sz w:val="24"/>
        </w:rPr>
      </w:pPr>
    </w:p>
    <w:tbl>
      <w:tblPr>
        <w:tblW w:w="113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682"/>
        <w:gridCol w:w="736"/>
        <w:gridCol w:w="638"/>
        <w:gridCol w:w="779"/>
        <w:gridCol w:w="728"/>
        <w:gridCol w:w="690"/>
        <w:gridCol w:w="682"/>
        <w:gridCol w:w="735"/>
      </w:tblGrid>
      <w:tr w:rsidR="004F2B41" w:rsidRPr="00C64BE8" w14:paraId="789CC28D" w14:textId="77777777" w:rsidTr="00091C72">
        <w:trPr>
          <w:trHeight w:val="181"/>
          <w:tblHeader/>
          <w:jc w:val="center"/>
        </w:trPr>
        <w:tc>
          <w:tcPr>
            <w:tcW w:w="11340" w:type="dxa"/>
            <w:gridSpan w:val="11"/>
            <w:tcBorders>
              <w:bottom w:val="single" w:sz="4" w:space="0" w:color="auto"/>
            </w:tcBorders>
          </w:tcPr>
          <w:p w14:paraId="0DBB53CF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</w:pPr>
            <w:r w:rsidRPr="00C64BE8"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  <w:lastRenderedPageBreak/>
              <w:t xml:space="preserve">Tabla 2. Posición e índice de calidad de las primeras 5 universidades en el ranking de las mejores universidades de México </w:t>
            </w:r>
          </w:p>
          <w:p w14:paraId="668ADF13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</w:pPr>
            <w:r w:rsidRPr="00C64BE8"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  <w:t>(América Economía), 2012- 2019.</w:t>
            </w:r>
          </w:p>
        </w:tc>
      </w:tr>
      <w:tr w:rsidR="004F2B41" w:rsidRPr="00C64BE8" w14:paraId="53BF7CBF" w14:textId="77777777" w:rsidTr="00091C72">
        <w:trPr>
          <w:trHeight w:val="237"/>
          <w:tblHeader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0E09595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Institución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2D7406F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6CFAADC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7DA66CD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0A6BF1C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7FE5995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64BE8">
              <w:rPr>
                <w:b/>
                <w:sz w:val="16"/>
                <w:szCs w:val="16"/>
              </w:rPr>
              <w:t>2019</w:t>
            </w:r>
          </w:p>
        </w:tc>
      </w:tr>
      <w:tr w:rsidR="004F2B41" w:rsidRPr="00C64BE8" w14:paraId="109E1752" w14:textId="77777777" w:rsidTr="00091C72">
        <w:trPr>
          <w:trHeight w:val="237"/>
          <w:tblHeader/>
          <w:jc w:val="center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421A07F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4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1724AB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4"/>
                <w:szCs w:val="16"/>
                <w:lang w:eastAsia="es-MX"/>
              </w:rPr>
            </w:pPr>
            <w:r w:rsidRPr="00C64BE8">
              <w:rPr>
                <w:i/>
                <w:sz w:val="14"/>
                <w:szCs w:val="16"/>
              </w:rPr>
              <w:t>Posición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E689C4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4"/>
                <w:szCs w:val="16"/>
                <w:lang w:eastAsia="es-MX"/>
              </w:rPr>
            </w:pPr>
            <w:r w:rsidRPr="00C64BE8">
              <w:rPr>
                <w:i/>
                <w:sz w:val="14"/>
                <w:szCs w:val="16"/>
              </w:rPr>
              <w:t>Índice de Calidad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3FEF49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4"/>
                <w:szCs w:val="16"/>
                <w:lang w:eastAsia="es-MX"/>
              </w:rPr>
            </w:pPr>
            <w:r w:rsidRPr="00C64BE8">
              <w:rPr>
                <w:i/>
                <w:sz w:val="14"/>
                <w:szCs w:val="16"/>
              </w:rPr>
              <w:t>Posición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CB7725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4"/>
                <w:szCs w:val="16"/>
                <w:lang w:eastAsia="es-MX"/>
              </w:rPr>
            </w:pPr>
            <w:r w:rsidRPr="00C64BE8">
              <w:rPr>
                <w:i/>
                <w:sz w:val="14"/>
                <w:szCs w:val="16"/>
              </w:rPr>
              <w:t>Índice de Calidad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A6A60D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4"/>
                <w:szCs w:val="16"/>
                <w:lang w:eastAsia="es-MX"/>
              </w:rPr>
            </w:pPr>
            <w:r w:rsidRPr="00C64BE8">
              <w:rPr>
                <w:i/>
                <w:sz w:val="14"/>
                <w:szCs w:val="16"/>
              </w:rPr>
              <w:t>Posición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3D28E0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4"/>
                <w:szCs w:val="16"/>
                <w:lang w:eastAsia="es-MX"/>
              </w:rPr>
            </w:pPr>
            <w:r w:rsidRPr="00C64BE8">
              <w:rPr>
                <w:i/>
                <w:sz w:val="14"/>
                <w:szCs w:val="16"/>
              </w:rPr>
              <w:t>Índice de Calidad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55DF48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4"/>
                <w:szCs w:val="16"/>
                <w:lang w:eastAsia="es-MX"/>
              </w:rPr>
            </w:pPr>
            <w:r w:rsidRPr="00C64BE8">
              <w:rPr>
                <w:i/>
                <w:sz w:val="14"/>
                <w:szCs w:val="16"/>
              </w:rPr>
              <w:t>Posición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63B90D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4"/>
                <w:szCs w:val="16"/>
                <w:lang w:eastAsia="es-MX"/>
              </w:rPr>
            </w:pPr>
            <w:r w:rsidRPr="00C64BE8">
              <w:rPr>
                <w:i/>
                <w:sz w:val="14"/>
                <w:szCs w:val="16"/>
              </w:rPr>
              <w:t>Índice de Calidad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BF1724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4"/>
                <w:szCs w:val="16"/>
                <w:lang w:eastAsia="es-MX"/>
              </w:rPr>
            </w:pPr>
            <w:r w:rsidRPr="00C64BE8">
              <w:rPr>
                <w:i/>
                <w:sz w:val="14"/>
                <w:szCs w:val="16"/>
              </w:rPr>
              <w:t>Posición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E79DD0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4"/>
                <w:szCs w:val="16"/>
                <w:lang w:eastAsia="es-MX"/>
              </w:rPr>
            </w:pPr>
            <w:r w:rsidRPr="00C64BE8">
              <w:rPr>
                <w:i/>
                <w:sz w:val="14"/>
                <w:szCs w:val="16"/>
              </w:rPr>
              <w:t>Índice de Calidad</w:t>
            </w:r>
          </w:p>
        </w:tc>
      </w:tr>
      <w:tr w:rsidR="004F2B41" w:rsidRPr="00C64BE8" w14:paraId="159927E8" w14:textId="77777777" w:rsidTr="00091C72">
        <w:trPr>
          <w:trHeight w:val="24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67B4" w14:textId="77777777" w:rsidR="004F2B41" w:rsidRPr="00C64BE8" w:rsidRDefault="004F2B41" w:rsidP="00091C7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Universidad Nacional Autónoma de México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1FBD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43BD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88.00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9EB4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0839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89.51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72AE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86B5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85.79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8D39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716A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83.50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C1B5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FA31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85.09</w:t>
            </w:r>
          </w:p>
        </w:tc>
      </w:tr>
      <w:tr w:rsidR="004F2B41" w:rsidRPr="00C64BE8" w14:paraId="457EF99B" w14:textId="77777777" w:rsidTr="00091C72">
        <w:trPr>
          <w:trHeight w:val="24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9CBDBC" w14:textId="77777777" w:rsidR="004F2B41" w:rsidRPr="00C64BE8" w:rsidRDefault="004F2B41" w:rsidP="00091C7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Instituto Tecnológico y de Estudios Superiores de Monterrey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278F98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BC79D6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68.91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9AC264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2019EB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66.64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8F30ED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54C4CB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75.14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0E91A4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F5F7A6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76.56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2A888D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C55C9F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78.67</w:t>
            </w:r>
          </w:p>
        </w:tc>
      </w:tr>
      <w:tr w:rsidR="004F2B41" w:rsidRPr="00C64BE8" w14:paraId="31FEC804" w14:textId="77777777" w:rsidTr="00091C72">
        <w:trPr>
          <w:trHeight w:val="24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91D7" w14:textId="77777777" w:rsidR="004F2B41" w:rsidRPr="00C64BE8" w:rsidRDefault="004F2B41" w:rsidP="00091C7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Instituto Politécnico Nacional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B979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4507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68.89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F0DD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2786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65.91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2654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5EE1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74.30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82AD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15BD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72.18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ED45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4256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76.28</w:t>
            </w:r>
          </w:p>
        </w:tc>
      </w:tr>
      <w:tr w:rsidR="004F2B41" w:rsidRPr="00C64BE8" w14:paraId="0DD65475" w14:textId="77777777" w:rsidTr="00091C72">
        <w:trPr>
          <w:trHeight w:val="24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64C1513" w14:textId="77777777" w:rsidR="004F2B41" w:rsidRPr="00C64BE8" w:rsidRDefault="004F2B41" w:rsidP="00091C7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Universidad Autónoma Metropolitana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D148A6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D04D7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58.16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0F5B63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1B00B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55.03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3B6FFC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43F628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66.84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472DAF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B03B2F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72.01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B6525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C42BEF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71.16</w:t>
            </w:r>
          </w:p>
        </w:tc>
      </w:tr>
      <w:tr w:rsidR="004F2B41" w:rsidRPr="00C64BE8" w14:paraId="1671918B" w14:textId="77777777" w:rsidTr="00091C72">
        <w:trPr>
          <w:trHeight w:val="24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BDE1" w14:textId="77777777" w:rsidR="004F2B41" w:rsidRPr="00C64BE8" w:rsidRDefault="004F2B41" w:rsidP="00091C7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Universidad de Guadalajara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557A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0328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45.70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0D91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4D37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46.98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324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35F4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56.55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9E5E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55FD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67.55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9C96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D986" w14:textId="77777777" w:rsidR="004F2B41" w:rsidRPr="00C64BE8" w:rsidRDefault="004F2B41" w:rsidP="00091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64BE8">
              <w:rPr>
                <w:rFonts w:cstheme="minorHAnsi"/>
                <w:sz w:val="16"/>
                <w:szCs w:val="16"/>
              </w:rPr>
              <w:t>69.89</w:t>
            </w:r>
          </w:p>
        </w:tc>
      </w:tr>
      <w:tr w:rsidR="004F2B41" w:rsidRPr="00C64BE8" w14:paraId="1A4567BB" w14:textId="77777777" w:rsidTr="00091C72">
        <w:trPr>
          <w:trHeight w:val="224"/>
          <w:jc w:val="center"/>
        </w:trPr>
        <w:tc>
          <w:tcPr>
            <w:tcW w:w="11340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E94D41" w14:textId="77777777" w:rsidR="004F2B41" w:rsidRPr="00C64BE8" w:rsidRDefault="004F2B41" w:rsidP="00091C7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64BE8">
              <w:rPr>
                <w:rFonts w:eastAsia="Times New Roman" w:cstheme="minorHAnsi"/>
                <w:sz w:val="12"/>
                <w:szCs w:val="18"/>
                <w:lang w:eastAsia="es-MX"/>
              </w:rPr>
              <w:t>* Ordenado conforme a la posición obtenida en 2019.</w:t>
            </w:r>
          </w:p>
        </w:tc>
      </w:tr>
    </w:tbl>
    <w:p w14:paraId="3941E496" w14:textId="77777777" w:rsidR="005B26E1" w:rsidRPr="00C64BE8" w:rsidRDefault="005B26E1" w:rsidP="009B22AB">
      <w:pPr>
        <w:pStyle w:val="Prrafodelista"/>
        <w:rPr>
          <w:sz w:val="24"/>
        </w:rPr>
      </w:pPr>
    </w:p>
    <w:p w14:paraId="6C7E657F" w14:textId="57EB6BB6" w:rsidR="008638CC" w:rsidRPr="00C64BE8" w:rsidRDefault="00D8282A" w:rsidP="008638CC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sz w:val="24"/>
        </w:rPr>
      </w:pPr>
      <w:r w:rsidRPr="00C64BE8">
        <w:rPr>
          <w:sz w:val="24"/>
        </w:rPr>
        <w:t xml:space="preserve">Respecto a los indicadores, </w:t>
      </w:r>
      <w:r w:rsidR="008638CC" w:rsidRPr="00C64BE8">
        <w:rPr>
          <w:sz w:val="24"/>
        </w:rPr>
        <w:t xml:space="preserve">en </w:t>
      </w:r>
      <w:r w:rsidRPr="00C64BE8">
        <w:rPr>
          <w:sz w:val="24"/>
        </w:rPr>
        <w:t xml:space="preserve">estos </w:t>
      </w:r>
      <w:r w:rsidR="008638CC" w:rsidRPr="00C64BE8">
        <w:rPr>
          <w:sz w:val="24"/>
        </w:rPr>
        <w:t xml:space="preserve">las universidades pueden obtener </w:t>
      </w:r>
      <w:r w:rsidRPr="00C64BE8">
        <w:rPr>
          <w:sz w:val="24"/>
        </w:rPr>
        <w:t xml:space="preserve">un puntaje máximo de </w:t>
      </w:r>
      <w:r w:rsidR="004F2B41" w:rsidRPr="00C64BE8">
        <w:rPr>
          <w:sz w:val="24"/>
        </w:rPr>
        <w:t>100</w:t>
      </w:r>
      <w:r w:rsidR="008638CC" w:rsidRPr="00C64BE8">
        <w:rPr>
          <w:sz w:val="24"/>
        </w:rPr>
        <w:t>, el comportamiento de las instituciones fue el siguiente:</w:t>
      </w:r>
    </w:p>
    <w:p w14:paraId="7AB141EF" w14:textId="7DDDDBC8" w:rsidR="008638CC" w:rsidRPr="00C64BE8" w:rsidRDefault="008638CC" w:rsidP="008638CC">
      <w:pPr>
        <w:pStyle w:val="Prrafodelista"/>
        <w:numPr>
          <w:ilvl w:val="1"/>
          <w:numId w:val="1"/>
        </w:numPr>
        <w:spacing w:after="0" w:line="240" w:lineRule="auto"/>
        <w:ind w:left="1134" w:hanging="284"/>
        <w:jc w:val="both"/>
        <w:rPr>
          <w:sz w:val="24"/>
        </w:rPr>
      </w:pPr>
      <w:r w:rsidRPr="00C64BE8">
        <w:rPr>
          <w:b/>
          <w:i/>
          <w:sz w:val="24"/>
        </w:rPr>
        <w:t>Calidad docente</w:t>
      </w:r>
      <w:r w:rsidRPr="00C64BE8">
        <w:rPr>
          <w:b/>
          <w:sz w:val="24"/>
        </w:rPr>
        <w:t>:</w:t>
      </w:r>
      <w:r w:rsidRPr="00C64BE8">
        <w:rPr>
          <w:sz w:val="24"/>
        </w:rPr>
        <w:t xml:space="preserve"> El Colegio de México fue clasificada con un puntaje de 100, seguida por la Universidad de las Américas Puebla (UDLAP) quien obtuvo un puntaje de 90.0, y la Universidad Autónoma Chapingo con 86.8 puntos. La UNAM fue clasificada en la posición 21 al obtener un total de 59.6</w:t>
      </w:r>
      <w:r w:rsidR="003141C5" w:rsidRPr="00C64BE8">
        <w:rPr>
          <w:sz w:val="24"/>
        </w:rPr>
        <w:t xml:space="preserve"> puntos</w:t>
      </w:r>
      <w:r w:rsidRPr="00C64BE8">
        <w:rPr>
          <w:sz w:val="24"/>
        </w:rPr>
        <w:t>.</w:t>
      </w:r>
    </w:p>
    <w:p w14:paraId="3639B7F7" w14:textId="77777777" w:rsidR="00B11123" w:rsidRDefault="008638CC" w:rsidP="00B11123">
      <w:pPr>
        <w:pStyle w:val="Prrafodelista"/>
        <w:numPr>
          <w:ilvl w:val="1"/>
          <w:numId w:val="1"/>
        </w:numPr>
        <w:spacing w:after="0" w:line="240" w:lineRule="auto"/>
        <w:ind w:left="1134" w:hanging="284"/>
        <w:jc w:val="both"/>
        <w:rPr>
          <w:sz w:val="24"/>
        </w:rPr>
      </w:pPr>
      <w:r w:rsidRPr="00C64BE8">
        <w:rPr>
          <w:b/>
          <w:i/>
          <w:sz w:val="24"/>
        </w:rPr>
        <w:t>Investigación</w:t>
      </w:r>
      <w:r w:rsidRPr="00C64BE8">
        <w:rPr>
          <w:b/>
          <w:sz w:val="24"/>
        </w:rPr>
        <w:t>:</w:t>
      </w:r>
      <w:r w:rsidR="003141C5" w:rsidRPr="00C64BE8">
        <w:rPr>
          <w:sz w:val="24"/>
        </w:rPr>
        <w:t xml:space="preserve"> La UNAM obtuvo un total de 100 puntos sobre 100 posibles, seguida por el IPN con 92.9 puntos, y el ITESM con 84.9 puntos.</w:t>
      </w:r>
    </w:p>
    <w:p w14:paraId="45946394" w14:textId="2914B87C" w:rsidR="00004EDA" w:rsidRPr="00B11123" w:rsidRDefault="008638CC" w:rsidP="00B11123">
      <w:pPr>
        <w:pStyle w:val="Prrafodelista"/>
        <w:numPr>
          <w:ilvl w:val="1"/>
          <w:numId w:val="1"/>
        </w:numPr>
        <w:spacing w:after="0" w:line="240" w:lineRule="auto"/>
        <w:ind w:left="1134" w:hanging="284"/>
        <w:jc w:val="both"/>
        <w:rPr>
          <w:sz w:val="24"/>
        </w:rPr>
      </w:pPr>
      <w:r w:rsidRPr="00B11123">
        <w:rPr>
          <w:b/>
          <w:i/>
          <w:sz w:val="24"/>
        </w:rPr>
        <w:t>Prestigio</w:t>
      </w:r>
      <w:r w:rsidRPr="00B11123">
        <w:rPr>
          <w:b/>
          <w:sz w:val="24"/>
        </w:rPr>
        <w:t>:</w:t>
      </w:r>
      <w:r w:rsidR="00004EDA" w:rsidRPr="00B11123">
        <w:rPr>
          <w:sz w:val="24"/>
        </w:rPr>
        <w:t xml:space="preserve"> El ITESM fu</w:t>
      </w:r>
      <w:r w:rsidR="0000633B" w:rsidRPr="00B11123">
        <w:rPr>
          <w:sz w:val="24"/>
        </w:rPr>
        <w:t>e</w:t>
      </w:r>
      <w:r w:rsidR="00004EDA" w:rsidRPr="00B11123">
        <w:rPr>
          <w:sz w:val="24"/>
        </w:rPr>
        <w:t xml:space="preserve"> clasificada con un total de 100 puntos, seguida por la UNAM con 97.7 puntos, y el IPN con 86.7 puntos.</w:t>
      </w:r>
      <w:r w:rsidR="00B11123" w:rsidRPr="00B11123">
        <w:rPr>
          <w:sz w:val="24"/>
        </w:rPr>
        <w:t xml:space="preserve"> Llama la atención que la Universidad Autónoma del Carmen</w:t>
      </w:r>
      <w:r w:rsidR="00B11123">
        <w:rPr>
          <w:sz w:val="24"/>
        </w:rPr>
        <w:t xml:space="preserve"> obtuvo un puntaje de 0 sobre 100 posibles.</w:t>
      </w:r>
    </w:p>
    <w:p w14:paraId="1771B74A" w14:textId="24F9A137" w:rsidR="008638CC" w:rsidRPr="00C64BE8" w:rsidRDefault="008638CC" w:rsidP="008638CC">
      <w:pPr>
        <w:pStyle w:val="Prrafodelista"/>
        <w:numPr>
          <w:ilvl w:val="1"/>
          <w:numId w:val="1"/>
        </w:numPr>
        <w:spacing w:after="0" w:line="240" w:lineRule="auto"/>
        <w:ind w:left="1134" w:hanging="284"/>
        <w:jc w:val="both"/>
        <w:rPr>
          <w:sz w:val="24"/>
        </w:rPr>
      </w:pPr>
      <w:r w:rsidRPr="00C64BE8">
        <w:rPr>
          <w:b/>
          <w:i/>
          <w:sz w:val="24"/>
        </w:rPr>
        <w:t>Oferta de posgrado</w:t>
      </w:r>
      <w:r w:rsidRPr="00C64BE8">
        <w:rPr>
          <w:b/>
          <w:sz w:val="24"/>
        </w:rPr>
        <w:t>:</w:t>
      </w:r>
      <w:r w:rsidR="0000633B" w:rsidRPr="00C64BE8">
        <w:rPr>
          <w:b/>
          <w:sz w:val="24"/>
        </w:rPr>
        <w:t xml:space="preserve"> </w:t>
      </w:r>
      <w:r w:rsidR="0000633B" w:rsidRPr="00C64BE8">
        <w:rPr>
          <w:sz w:val="24"/>
        </w:rPr>
        <w:t xml:space="preserve">La UNAM </w:t>
      </w:r>
      <w:r w:rsidR="00227399" w:rsidRPr="00C64BE8">
        <w:rPr>
          <w:sz w:val="24"/>
        </w:rPr>
        <w:t>recibió</w:t>
      </w:r>
      <w:r w:rsidR="0000633B" w:rsidRPr="00C64BE8">
        <w:rPr>
          <w:sz w:val="24"/>
        </w:rPr>
        <w:t xml:space="preserve"> un </w:t>
      </w:r>
      <w:r w:rsidR="00227399" w:rsidRPr="00C64BE8">
        <w:rPr>
          <w:sz w:val="24"/>
        </w:rPr>
        <w:t xml:space="preserve">total </w:t>
      </w:r>
      <w:r w:rsidR="0000633B" w:rsidRPr="00C64BE8">
        <w:rPr>
          <w:sz w:val="24"/>
        </w:rPr>
        <w:t>de 100 puntos, seguida por la Universidad de Guadalajara con 95.5 puntos, y el IPN con 88 puntos.</w:t>
      </w:r>
    </w:p>
    <w:p w14:paraId="23514C01" w14:textId="77777777" w:rsidR="00F60973" w:rsidRPr="00C64BE8" w:rsidRDefault="008638CC" w:rsidP="00F60973">
      <w:pPr>
        <w:pStyle w:val="Prrafodelista"/>
        <w:numPr>
          <w:ilvl w:val="1"/>
          <w:numId w:val="1"/>
        </w:numPr>
        <w:spacing w:after="0" w:line="240" w:lineRule="auto"/>
        <w:ind w:left="1134" w:hanging="284"/>
        <w:jc w:val="both"/>
        <w:rPr>
          <w:sz w:val="24"/>
        </w:rPr>
      </w:pPr>
      <w:r w:rsidRPr="00C64BE8">
        <w:rPr>
          <w:b/>
          <w:i/>
          <w:sz w:val="24"/>
        </w:rPr>
        <w:t>Internacionalización</w:t>
      </w:r>
      <w:r w:rsidRPr="00C64BE8">
        <w:rPr>
          <w:b/>
          <w:sz w:val="24"/>
        </w:rPr>
        <w:t>:</w:t>
      </w:r>
      <w:r w:rsidR="0000633B" w:rsidRPr="00C64BE8">
        <w:rPr>
          <w:sz w:val="24"/>
        </w:rPr>
        <w:t xml:space="preserve"> </w:t>
      </w:r>
      <w:r w:rsidR="00227399" w:rsidRPr="00C64BE8">
        <w:rPr>
          <w:sz w:val="24"/>
        </w:rPr>
        <w:t xml:space="preserve">El ITESM obtuvo un puntaje de 100, seguida por la UNAM con 98 puntos, y el ITAM con 89.8 puntos. </w:t>
      </w:r>
    </w:p>
    <w:p w14:paraId="0D8BCD7E" w14:textId="14A8CBB8" w:rsidR="008638CC" w:rsidRPr="00C64BE8" w:rsidRDefault="008638CC" w:rsidP="00B11123">
      <w:pPr>
        <w:pStyle w:val="Prrafodelista"/>
        <w:numPr>
          <w:ilvl w:val="1"/>
          <w:numId w:val="1"/>
        </w:numPr>
        <w:spacing w:after="0" w:line="240" w:lineRule="auto"/>
        <w:ind w:left="1134" w:hanging="284"/>
        <w:jc w:val="both"/>
        <w:rPr>
          <w:sz w:val="24"/>
        </w:rPr>
      </w:pPr>
      <w:r w:rsidRPr="00C64BE8">
        <w:rPr>
          <w:b/>
          <w:i/>
          <w:sz w:val="24"/>
        </w:rPr>
        <w:t>Acreditación</w:t>
      </w:r>
      <w:r w:rsidRPr="00C64BE8">
        <w:rPr>
          <w:b/>
          <w:sz w:val="24"/>
        </w:rPr>
        <w:t>:</w:t>
      </w:r>
      <w:r w:rsidR="00F60973" w:rsidRPr="00C64BE8">
        <w:rPr>
          <w:b/>
        </w:rPr>
        <w:t xml:space="preserve"> </w:t>
      </w:r>
      <w:r w:rsidR="00F60973" w:rsidRPr="00C64BE8">
        <w:rPr>
          <w:sz w:val="24"/>
        </w:rPr>
        <w:t>El ITESM fue clasificada con 100 puntos, seguida de la Universidad de las Américas Puebla (UDLAP) quien obtuvo un total de 90 puntos, y la Universidad Anáhuac - México con 89.7 puntos. La UNAM fue clasificada en el lugar nove</w:t>
      </w:r>
      <w:r w:rsidR="00B11123">
        <w:rPr>
          <w:sz w:val="24"/>
        </w:rPr>
        <w:t xml:space="preserve">nos al obtener un total de 76.9, también hay que destacar que tanto la </w:t>
      </w:r>
      <w:r w:rsidR="00B11123" w:rsidRPr="00B11123">
        <w:rPr>
          <w:sz w:val="24"/>
        </w:rPr>
        <w:t>Universidad Autónoma de la Ciudad de México como la Universidad Pedagógica Nacional</w:t>
      </w:r>
      <w:r w:rsidR="00B11123">
        <w:rPr>
          <w:sz w:val="24"/>
        </w:rPr>
        <w:t xml:space="preserve"> obtuvieron un puntaje de 0 sobre 100 posibles.</w:t>
      </w:r>
      <w:bookmarkStart w:id="0" w:name="_GoBack"/>
      <w:bookmarkEnd w:id="0"/>
    </w:p>
    <w:p w14:paraId="748D9F1B" w14:textId="4B4150CE" w:rsidR="008638CC" w:rsidRPr="00C64BE8" w:rsidRDefault="008638CC" w:rsidP="00F60973">
      <w:pPr>
        <w:pStyle w:val="Prrafodelista"/>
        <w:numPr>
          <w:ilvl w:val="1"/>
          <w:numId w:val="1"/>
        </w:numPr>
        <w:spacing w:after="0" w:line="240" w:lineRule="auto"/>
        <w:ind w:left="1134" w:hanging="284"/>
        <w:jc w:val="both"/>
        <w:rPr>
          <w:sz w:val="24"/>
        </w:rPr>
      </w:pPr>
      <w:r w:rsidRPr="00C64BE8">
        <w:rPr>
          <w:b/>
          <w:i/>
          <w:sz w:val="24"/>
        </w:rPr>
        <w:t>Inclusión y diversidad</w:t>
      </w:r>
      <w:r w:rsidRPr="00C64BE8">
        <w:rPr>
          <w:b/>
          <w:sz w:val="24"/>
        </w:rPr>
        <w:t>:</w:t>
      </w:r>
      <w:r w:rsidR="00F60973" w:rsidRPr="00C64BE8">
        <w:rPr>
          <w:sz w:val="24"/>
        </w:rPr>
        <w:t xml:space="preserve"> La Universidad de Guadalajara recibió un puntaje de 100 puntos, seguida por la Universidad de Sonora que obtuvo 94.2 puntos, y la Universidad Popular Autónoma del Estado de Puebla que obtuvo 93.1 puntos. La UNAM en este indicador ocupo el lugar 20 al recibir un puntaje total de 80.1.</w:t>
      </w:r>
    </w:p>
    <w:p w14:paraId="5838DDB2" w14:textId="77777777" w:rsidR="00D8282A" w:rsidRPr="00C64BE8" w:rsidRDefault="00D8282A" w:rsidP="00D8282A">
      <w:pPr>
        <w:pStyle w:val="Prrafodelista"/>
        <w:spacing w:after="0" w:line="240" w:lineRule="auto"/>
        <w:ind w:left="426"/>
        <w:jc w:val="both"/>
        <w:rPr>
          <w:sz w:val="24"/>
        </w:rPr>
      </w:pPr>
    </w:p>
    <w:p w14:paraId="248C548E" w14:textId="03DC86F9" w:rsidR="00190AD0" w:rsidRPr="00C64BE8" w:rsidRDefault="00190AD0" w:rsidP="000F189E">
      <w:pPr>
        <w:spacing w:after="0" w:line="240" w:lineRule="auto"/>
        <w:jc w:val="both"/>
        <w:rPr>
          <w:b/>
          <w:sz w:val="24"/>
        </w:rPr>
      </w:pPr>
      <w:r w:rsidRPr="00C64BE8">
        <w:rPr>
          <w:b/>
          <w:sz w:val="24"/>
        </w:rPr>
        <w:t>Comparativo entre Universidades Públicas y Privadas</w:t>
      </w:r>
    </w:p>
    <w:p w14:paraId="678B632E" w14:textId="7A863659" w:rsidR="00F44951" w:rsidRPr="00C64BE8" w:rsidRDefault="00E6743E" w:rsidP="009D782A">
      <w:pPr>
        <w:pStyle w:val="Prrafodelista"/>
        <w:numPr>
          <w:ilvl w:val="0"/>
          <w:numId w:val="15"/>
        </w:numPr>
        <w:spacing w:after="0" w:line="240" w:lineRule="auto"/>
        <w:ind w:left="1276"/>
        <w:jc w:val="both"/>
        <w:rPr>
          <w:sz w:val="24"/>
        </w:rPr>
      </w:pPr>
      <w:r w:rsidRPr="00C64BE8">
        <w:rPr>
          <w:sz w:val="24"/>
        </w:rPr>
        <w:t xml:space="preserve">Del total de las universidades clasificadas, </w:t>
      </w:r>
      <w:r w:rsidR="0006531B" w:rsidRPr="00C64BE8">
        <w:rPr>
          <w:sz w:val="24"/>
        </w:rPr>
        <w:t xml:space="preserve">39 </w:t>
      </w:r>
      <w:r w:rsidRPr="00C64BE8">
        <w:rPr>
          <w:sz w:val="24"/>
        </w:rPr>
        <w:t xml:space="preserve">de ellas fueron universidades públicas </w:t>
      </w:r>
      <w:r w:rsidR="0006531B" w:rsidRPr="00C64BE8">
        <w:rPr>
          <w:sz w:val="24"/>
        </w:rPr>
        <w:t xml:space="preserve">(78%) y 11 </w:t>
      </w:r>
      <w:r w:rsidRPr="00C64BE8">
        <w:rPr>
          <w:sz w:val="24"/>
        </w:rPr>
        <w:t xml:space="preserve">fueron universidades privadas </w:t>
      </w:r>
      <w:r w:rsidR="0006531B" w:rsidRPr="00C64BE8">
        <w:rPr>
          <w:sz w:val="24"/>
        </w:rPr>
        <w:t>(22%).</w:t>
      </w:r>
    </w:p>
    <w:p w14:paraId="781CC432" w14:textId="42189157" w:rsidR="00F44951" w:rsidRPr="00C64BE8" w:rsidRDefault="00E6743E" w:rsidP="009D782A">
      <w:pPr>
        <w:pStyle w:val="Prrafodelista"/>
        <w:numPr>
          <w:ilvl w:val="0"/>
          <w:numId w:val="15"/>
        </w:numPr>
        <w:spacing w:after="0" w:line="240" w:lineRule="auto"/>
        <w:ind w:left="1276"/>
        <w:jc w:val="both"/>
        <w:rPr>
          <w:sz w:val="24"/>
        </w:rPr>
      </w:pPr>
      <w:r w:rsidRPr="00C64BE8">
        <w:rPr>
          <w:sz w:val="24"/>
        </w:rPr>
        <w:t xml:space="preserve">Las </w:t>
      </w:r>
      <w:r w:rsidR="001242F8" w:rsidRPr="00C64BE8">
        <w:rPr>
          <w:sz w:val="24"/>
        </w:rPr>
        <w:t xml:space="preserve">universidades privadas tuvieron un mayor promedio de índice de calidad el cual fue de </w:t>
      </w:r>
      <w:r w:rsidRPr="00C64BE8">
        <w:rPr>
          <w:sz w:val="24"/>
        </w:rPr>
        <w:t xml:space="preserve">51.97, </w:t>
      </w:r>
      <w:r w:rsidR="001242F8" w:rsidRPr="00C64BE8">
        <w:rPr>
          <w:sz w:val="24"/>
        </w:rPr>
        <w:t xml:space="preserve">mientras </w:t>
      </w:r>
      <w:r w:rsidRPr="00C64BE8">
        <w:rPr>
          <w:sz w:val="24"/>
        </w:rPr>
        <w:t xml:space="preserve">que </w:t>
      </w:r>
      <w:r w:rsidR="001242F8" w:rsidRPr="00C64BE8">
        <w:rPr>
          <w:sz w:val="24"/>
        </w:rPr>
        <w:t xml:space="preserve">las universidades públicas </w:t>
      </w:r>
      <w:r w:rsidRPr="00C64BE8">
        <w:rPr>
          <w:sz w:val="24"/>
        </w:rPr>
        <w:t>obtuvieron un promedio de 50.94.</w:t>
      </w:r>
    </w:p>
    <w:p w14:paraId="76ED224B" w14:textId="1B9B30CA" w:rsidR="00F44951" w:rsidRPr="00C64BE8" w:rsidRDefault="00C64BE8" w:rsidP="009D782A">
      <w:pPr>
        <w:pStyle w:val="Prrafodelista"/>
        <w:numPr>
          <w:ilvl w:val="0"/>
          <w:numId w:val="15"/>
        </w:numPr>
        <w:spacing w:after="0" w:line="240" w:lineRule="auto"/>
        <w:ind w:left="1276"/>
        <w:jc w:val="both"/>
        <w:rPr>
          <w:sz w:val="24"/>
        </w:rPr>
      </w:pPr>
      <w:r w:rsidRPr="00C64BE8">
        <w:rPr>
          <w:sz w:val="24"/>
        </w:rPr>
        <w:t xml:space="preserve">Considerando los diferentes indicadores del ranking, podemos observar en la Tabla 3, las universidades </w:t>
      </w:r>
      <w:r w:rsidR="001242F8" w:rsidRPr="00C64BE8">
        <w:rPr>
          <w:sz w:val="24"/>
        </w:rPr>
        <w:t xml:space="preserve">públicas </w:t>
      </w:r>
      <w:r w:rsidRPr="00C64BE8">
        <w:rPr>
          <w:sz w:val="24"/>
        </w:rPr>
        <w:t xml:space="preserve">fueron clasificadas con </w:t>
      </w:r>
      <w:r w:rsidR="001242F8" w:rsidRPr="00C64BE8">
        <w:rPr>
          <w:sz w:val="24"/>
        </w:rPr>
        <w:t xml:space="preserve">un mejor promedio </w:t>
      </w:r>
      <w:r w:rsidR="001242F8" w:rsidRPr="00C64BE8">
        <w:rPr>
          <w:sz w:val="24"/>
        </w:rPr>
        <w:lastRenderedPageBreak/>
        <w:t xml:space="preserve">en los </w:t>
      </w:r>
      <w:r w:rsidRPr="00C64BE8">
        <w:rPr>
          <w:sz w:val="24"/>
        </w:rPr>
        <w:t xml:space="preserve">rubros </w:t>
      </w:r>
      <w:r w:rsidR="001242F8" w:rsidRPr="00C64BE8">
        <w:rPr>
          <w:sz w:val="24"/>
        </w:rPr>
        <w:t>de Calidad Docente (6</w:t>
      </w:r>
      <w:r w:rsidR="00F44951" w:rsidRPr="00C64BE8">
        <w:rPr>
          <w:sz w:val="24"/>
        </w:rPr>
        <w:t>1</w:t>
      </w:r>
      <w:r w:rsidR="001242F8" w:rsidRPr="00C64BE8">
        <w:rPr>
          <w:sz w:val="24"/>
        </w:rPr>
        <w:t>.</w:t>
      </w:r>
      <w:r w:rsidRPr="00C64BE8">
        <w:rPr>
          <w:sz w:val="24"/>
        </w:rPr>
        <w:t>3</w:t>
      </w:r>
      <w:r w:rsidR="001242F8" w:rsidRPr="00C64BE8">
        <w:rPr>
          <w:sz w:val="24"/>
        </w:rPr>
        <w:t xml:space="preserve">), </w:t>
      </w:r>
      <w:r w:rsidR="00F44951" w:rsidRPr="00C64BE8">
        <w:rPr>
          <w:sz w:val="24"/>
        </w:rPr>
        <w:t>Investigación (</w:t>
      </w:r>
      <w:r w:rsidRPr="00C64BE8">
        <w:rPr>
          <w:sz w:val="24"/>
        </w:rPr>
        <w:t>49.4</w:t>
      </w:r>
      <w:r w:rsidR="00F44951" w:rsidRPr="00C64BE8">
        <w:rPr>
          <w:sz w:val="24"/>
        </w:rPr>
        <w:t xml:space="preserve">), y </w:t>
      </w:r>
      <w:r w:rsidR="001242F8" w:rsidRPr="00C64BE8">
        <w:rPr>
          <w:sz w:val="24"/>
        </w:rPr>
        <w:t>Oferta de posgrado (</w:t>
      </w:r>
      <w:r w:rsidRPr="00C64BE8">
        <w:rPr>
          <w:sz w:val="24"/>
        </w:rPr>
        <w:t>53</w:t>
      </w:r>
      <w:r w:rsidR="001242F8" w:rsidRPr="00C64BE8">
        <w:rPr>
          <w:sz w:val="24"/>
        </w:rPr>
        <w:t>)</w:t>
      </w:r>
      <w:r w:rsidR="00F44951" w:rsidRPr="00C64BE8">
        <w:rPr>
          <w:sz w:val="24"/>
        </w:rPr>
        <w:t>.</w:t>
      </w:r>
    </w:p>
    <w:p w14:paraId="4B6929C1" w14:textId="71203C49" w:rsidR="001242F8" w:rsidRPr="00C64BE8" w:rsidRDefault="001242F8" w:rsidP="00C64BE8">
      <w:pPr>
        <w:pStyle w:val="Prrafodelista"/>
        <w:numPr>
          <w:ilvl w:val="0"/>
          <w:numId w:val="15"/>
        </w:numPr>
        <w:spacing w:after="0" w:line="240" w:lineRule="auto"/>
        <w:ind w:left="1276"/>
        <w:jc w:val="both"/>
        <w:rPr>
          <w:sz w:val="24"/>
        </w:rPr>
      </w:pPr>
      <w:r w:rsidRPr="00C64BE8">
        <w:rPr>
          <w:sz w:val="24"/>
        </w:rPr>
        <w:t xml:space="preserve">Mientras que las universidades privadas </w:t>
      </w:r>
      <w:r w:rsidR="00C64BE8" w:rsidRPr="00C64BE8">
        <w:rPr>
          <w:sz w:val="24"/>
        </w:rPr>
        <w:t xml:space="preserve">recibieron un </w:t>
      </w:r>
      <w:r w:rsidRPr="00C64BE8">
        <w:rPr>
          <w:sz w:val="24"/>
        </w:rPr>
        <w:t xml:space="preserve">mejor </w:t>
      </w:r>
      <w:r w:rsidR="00276DFC" w:rsidRPr="00C64BE8">
        <w:rPr>
          <w:sz w:val="24"/>
        </w:rPr>
        <w:t>puntaje</w:t>
      </w:r>
      <w:r w:rsidRPr="00C64BE8">
        <w:rPr>
          <w:sz w:val="24"/>
        </w:rPr>
        <w:t xml:space="preserve"> en </w:t>
      </w:r>
      <w:r w:rsidR="00C64BE8" w:rsidRPr="00C64BE8">
        <w:rPr>
          <w:sz w:val="24"/>
        </w:rPr>
        <w:t xml:space="preserve">los indicadores de </w:t>
      </w:r>
      <w:r w:rsidRPr="00C64BE8">
        <w:rPr>
          <w:sz w:val="24"/>
        </w:rPr>
        <w:t>Internacionalización (</w:t>
      </w:r>
      <w:r w:rsidR="00C64BE8" w:rsidRPr="00C64BE8">
        <w:rPr>
          <w:sz w:val="24"/>
        </w:rPr>
        <w:t>39.8</w:t>
      </w:r>
      <w:r w:rsidRPr="00C64BE8">
        <w:rPr>
          <w:sz w:val="24"/>
        </w:rPr>
        <w:t>), Prestigio (</w:t>
      </w:r>
      <w:r w:rsidR="00F44951" w:rsidRPr="00C64BE8">
        <w:rPr>
          <w:sz w:val="24"/>
        </w:rPr>
        <w:t>7</w:t>
      </w:r>
      <w:r w:rsidR="00C64BE8" w:rsidRPr="00C64BE8">
        <w:rPr>
          <w:sz w:val="24"/>
        </w:rPr>
        <w:t>1</w:t>
      </w:r>
      <w:r w:rsidR="00F44951" w:rsidRPr="00C64BE8">
        <w:rPr>
          <w:sz w:val="24"/>
        </w:rPr>
        <w:t>.</w:t>
      </w:r>
      <w:r w:rsidR="00C64BE8" w:rsidRPr="00C64BE8">
        <w:rPr>
          <w:sz w:val="24"/>
        </w:rPr>
        <w:t>6</w:t>
      </w:r>
      <w:r w:rsidRPr="00C64BE8">
        <w:rPr>
          <w:sz w:val="24"/>
        </w:rPr>
        <w:t>)</w:t>
      </w:r>
      <w:r w:rsidR="00F44951" w:rsidRPr="00C64BE8">
        <w:rPr>
          <w:sz w:val="24"/>
        </w:rPr>
        <w:t>,</w:t>
      </w:r>
      <w:r w:rsidRPr="00C64BE8">
        <w:rPr>
          <w:sz w:val="24"/>
        </w:rPr>
        <w:t xml:space="preserve"> Acreditación (</w:t>
      </w:r>
      <w:r w:rsidR="00C64BE8" w:rsidRPr="00C64BE8">
        <w:rPr>
          <w:sz w:val="24"/>
        </w:rPr>
        <w:t>59.5</w:t>
      </w:r>
      <w:r w:rsidRPr="00C64BE8">
        <w:rPr>
          <w:sz w:val="24"/>
        </w:rPr>
        <w:t>)</w:t>
      </w:r>
      <w:r w:rsidR="00F44951" w:rsidRPr="00C64BE8">
        <w:rPr>
          <w:sz w:val="24"/>
        </w:rPr>
        <w:t>, e Inclusión y Diversidad (</w:t>
      </w:r>
      <w:r w:rsidR="00C64BE8" w:rsidRPr="00C64BE8">
        <w:rPr>
          <w:sz w:val="24"/>
        </w:rPr>
        <w:t>73.6</w:t>
      </w:r>
      <w:r w:rsidR="00F44951" w:rsidRPr="00C64BE8">
        <w:rPr>
          <w:sz w:val="24"/>
        </w:rPr>
        <w:t>)</w:t>
      </w:r>
      <w:r w:rsidRPr="00C64BE8">
        <w:rPr>
          <w:sz w:val="24"/>
        </w:rPr>
        <w:t xml:space="preserve">. </w:t>
      </w:r>
    </w:p>
    <w:p w14:paraId="1C73A81C" w14:textId="77777777" w:rsidR="001242F8" w:rsidRPr="00C64BE8" w:rsidRDefault="001242F8" w:rsidP="009D782A">
      <w:pPr>
        <w:pStyle w:val="Prrafodelista"/>
        <w:spacing w:after="0" w:line="240" w:lineRule="auto"/>
        <w:rPr>
          <w:sz w:val="24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79"/>
        <w:gridCol w:w="879"/>
        <w:gridCol w:w="1026"/>
        <w:gridCol w:w="1497"/>
        <w:gridCol w:w="879"/>
        <w:gridCol w:w="879"/>
        <w:gridCol w:w="989"/>
        <w:gridCol w:w="900"/>
      </w:tblGrid>
      <w:tr w:rsidR="001242F8" w:rsidRPr="00C64BE8" w14:paraId="0374329C" w14:textId="77777777" w:rsidTr="00F44951">
        <w:trPr>
          <w:trHeight w:val="535"/>
          <w:jc w:val="center"/>
        </w:trPr>
        <w:tc>
          <w:tcPr>
            <w:tcW w:w="97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4E93B" w14:textId="3644430A" w:rsidR="001242F8" w:rsidRPr="00C64BE8" w:rsidRDefault="001242F8" w:rsidP="000F1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</w:pPr>
            <w:r w:rsidRPr="00C64BE8"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  <w:t xml:space="preserve">Tabla </w:t>
            </w:r>
            <w:r w:rsidR="005B291C" w:rsidRPr="00C64BE8"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  <w:t>3</w:t>
            </w:r>
            <w:r w:rsidRPr="00C64BE8"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  <w:t xml:space="preserve">. Comparativo del </w:t>
            </w:r>
            <w:r w:rsidR="00276DFC" w:rsidRPr="00C64BE8"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  <w:t>puntaje</w:t>
            </w:r>
            <w:r w:rsidRPr="00C64BE8"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  <w:t xml:space="preserve"> promedio de las universidades públicas y privadas por indicador en el ranking de las mejores u</w:t>
            </w:r>
            <w:r w:rsidR="00F44951" w:rsidRPr="00C64BE8"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  <w:t>niversidades de México (América</w:t>
            </w:r>
            <w:r w:rsidRPr="00C64BE8"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  <w:t>Economía), 201</w:t>
            </w:r>
            <w:r w:rsidR="000F189E" w:rsidRPr="00C64BE8"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  <w:t>9</w:t>
            </w:r>
            <w:r w:rsidRPr="00C64BE8">
              <w:rPr>
                <w:rFonts w:ascii="Calibri" w:eastAsia="Times New Roman" w:hAnsi="Calibri" w:cs="Times New Roman"/>
                <w:b/>
                <w:sz w:val="20"/>
                <w:szCs w:val="24"/>
                <w:lang w:eastAsia="es-MX"/>
              </w:rPr>
              <w:t>.</w:t>
            </w:r>
          </w:p>
        </w:tc>
      </w:tr>
      <w:tr w:rsidR="001242F8" w:rsidRPr="00C64BE8" w14:paraId="1555A0C7" w14:textId="77777777" w:rsidTr="00F44951">
        <w:trPr>
          <w:trHeight w:val="535"/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BDD7EE"/>
            <w:vAlign w:val="center"/>
            <w:hideMark/>
          </w:tcPr>
          <w:p w14:paraId="1BC64AAA" w14:textId="77777777" w:rsidR="001242F8" w:rsidRPr="00C64BE8" w:rsidRDefault="001242F8" w:rsidP="009D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Sector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000000" w:fill="BDD7EE"/>
            <w:vAlign w:val="center"/>
          </w:tcPr>
          <w:p w14:paraId="212B13E2" w14:textId="77777777" w:rsidR="001242F8" w:rsidRPr="00C64BE8" w:rsidRDefault="001242F8" w:rsidP="009D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Índice de Calidad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000000" w:fill="BDD7EE"/>
            <w:vAlign w:val="center"/>
            <w:hideMark/>
          </w:tcPr>
          <w:p w14:paraId="0CA67A74" w14:textId="77777777" w:rsidR="001242F8" w:rsidRPr="00C64BE8" w:rsidRDefault="001242F8" w:rsidP="009D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Calidad docente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000000" w:fill="BDD7EE"/>
            <w:vAlign w:val="center"/>
            <w:hideMark/>
          </w:tcPr>
          <w:p w14:paraId="69B47434" w14:textId="77777777" w:rsidR="001242F8" w:rsidRPr="00C64BE8" w:rsidRDefault="001242F8" w:rsidP="009D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Investigación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000000" w:fill="BDD7EE"/>
            <w:vAlign w:val="center"/>
            <w:hideMark/>
          </w:tcPr>
          <w:p w14:paraId="4ADAD458" w14:textId="77777777" w:rsidR="001242F8" w:rsidRPr="00C64BE8" w:rsidRDefault="001242F8" w:rsidP="009D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Internacionalización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000000" w:fill="BDD7EE"/>
            <w:vAlign w:val="center"/>
            <w:hideMark/>
          </w:tcPr>
          <w:p w14:paraId="48110B8F" w14:textId="77777777" w:rsidR="001242F8" w:rsidRPr="00C64BE8" w:rsidRDefault="001242F8" w:rsidP="009D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Prestigio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000000" w:fill="BDD7EE"/>
            <w:vAlign w:val="center"/>
            <w:hideMark/>
          </w:tcPr>
          <w:p w14:paraId="50F553C0" w14:textId="77777777" w:rsidR="001242F8" w:rsidRPr="00C64BE8" w:rsidRDefault="001242F8" w:rsidP="009D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Oferta de posgrado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000000" w:fill="BDD7EE"/>
            <w:vAlign w:val="center"/>
            <w:hideMark/>
          </w:tcPr>
          <w:p w14:paraId="6E9ACEAE" w14:textId="77777777" w:rsidR="001242F8" w:rsidRPr="00C64BE8" w:rsidRDefault="001242F8" w:rsidP="009D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Acreditación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000000" w:fill="BDD7EE"/>
            <w:vAlign w:val="center"/>
            <w:hideMark/>
          </w:tcPr>
          <w:p w14:paraId="43F7D28F" w14:textId="77777777" w:rsidR="001242F8" w:rsidRPr="00C64BE8" w:rsidRDefault="001242F8" w:rsidP="009D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Inclusión y diversidad</w:t>
            </w:r>
          </w:p>
        </w:tc>
      </w:tr>
      <w:tr w:rsidR="000F189E" w:rsidRPr="00C64BE8" w14:paraId="6C2C5DEA" w14:textId="77777777" w:rsidTr="000F189E">
        <w:trPr>
          <w:trHeight w:val="15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05AA31" w14:textId="77777777" w:rsidR="000F189E" w:rsidRPr="00C64BE8" w:rsidRDefault="000F189E" w:rsidP="000F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Universidades Públicas</w:t>
            </w:r>
          </w:p>
        </w:tc>
        <w:tc>
          <w:tcPr>
            <w:tcW w:w="879" w:type="dxa"/>
            <w:vAlign w:val="center"/>
          </w:tcPr>
          <w:p w14:paraId="215EE09C" w14:textId="5EAF6441" w:rsidR="000F189E" w:rsidRPr="00C64BE8" w:rsidRDefault="000F189E" w:rsidP="000F1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4BE8">
              <w:rPr>
                <w:sz w:val="18"/>
              </w:rPr>
              <w:t>50.94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FDB8D19" w14:textId="112D7B63" w:rsidR="000F189E" w:rsidRPr="00C64BE8" w:rsidRDefault="000F189E" w:rsidP="000F1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61.3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14:paraId="34C0DC69" w14:textId="18E33093" w:rsidR="000F189E" w:rsidRPr="00C64BE8" w:rsidRDefault="000F189E" w:rsidP="000F1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49.4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14:paraId="65D48A4C" w14:textId="5ECB464D" w:rsidR="000F189E" w:rsidRPr="00C64BE8" w:rsidRDefault="000F189E" w:rsidP="000F1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16.6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5CA83DE" w14:textId="3754DC14" w:rsidR="000F189E" w:rsidRPr="00C64BE8" w:rsidRDefault="000F189E" w:rsidP="000F1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53.0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5319198" w14:textId="4D8BB884" w:rsidR="000F189E" w:rsidRPr="00C64BE8" w:rsidRDefault="000F189E" w:rsidP="000F1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59.4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39AB6C08" w14:textId="04328436" w:rsidR="000F189E" w:rsidRPr="00C64BE8" w:rsidRDefault="000F189E" w:rsidP="000F1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52.7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5C3365" w14:textId="2106C072" w:rsidR="000F189E" w:rsidRPr="00C64BE8" w:rsidRDefault="000F189E" w:rsidP="000F1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66.7</w:t>
            </w:r>
          </w:p>
        </w:tc>
      </w:tr>
      <w:tr w:rsidR="000F189E" w:rsidRPr="00C64BE8" w14:paraId="7E8AD2A3" w14:textId="77777777" w:rsidTr="000F189E">
        <w:trPr>
          <w:trHeight w:val="267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D1BCAFF" w14:textId="77777777" w:rsidR="000F189E" w:rsidRPr="00C64BE8" w:rsidRDefault="000F189E" w:rsidP="000F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64B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Universidades Privadas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47A3EE" w14:textId="09A5E7B6" w:rsidR="000F189E" w:rsidRPr="00C64BE8" w:rsidRDefault="000F189E" w:rsidP="000F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64BE8">
              <w:rPr>
                <w:sz w:val="18"/>
              </w:rPr>
              <w:t>51.97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68AEB7" w14:textId="1B118B11" w:rsidR="000F189E" w:rsidRPr="00C64BE8" w:rsidRDefault="000F189E" w:rsidP="000F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57.9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4036060" w14:textId="0B10C0C1" w:rsidR="000F189E" w:rsidRPr="00C64BE8" w:rsidRDefault="000F189E" w:rsidP="000F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43.2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094F7B4" w14:textId="1CBF5AB9" w:rsidR="000F189E" w:rsidRPr="00C64BE8" w:rsidRDefault="000F189E" w:rsidP="000F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39.8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DEF6A0A" w14:textId="74081DEE" w:rsidR="000F189E" w:rsidRPr="00C64BE8" w:rsidRDefault="000F189E" w:rsidP="000F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26.2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C3DD92" w14:textId="76713289" w:rsidR="000F189E" w:rsidRPr="00C64BE8" w:rsidRDefault="000F189E" w:rsidP="000F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71.6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917FF03" w14:textId="6FACB45E" w:rsidR="000F189E" w:rsidRPr="00C64BE8" w:rsidRDefault="000F189E" w:rsidP="000F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59.5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89EC8D0" w14:textId="4F906B11" w:rsidR="000F189E" w:rsidRPr="00C64BE8" w:rsidRDefault="000F189E" w:rsidP="000F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64BE8">
              <w:rPr>
                <w:rFonts w:ascii="Calibri" w:hAnsi="Calibri" w:cs="Calibri"/>
                <w:color w:val="000000"/>
                <w:sz w:val="18"/>
              </w:rPr>
              <w:t>73.6</w:t>
            </w:r>
          </w:p>
        </w:tc>
      </w:tr>
      <w:tr w:rsidR="001242F8" w:rsidRPr="007F7C26" w14:paraId="0C48517C" w14:textId="77777777" w:rsidTr="00F44951">
        <w:trPr>
          <w:trHeight w:val="267"/>
          <w:jc w:val="center"/>
        </w:trPr>
        <w:tc>
          <w:tcPr>
            <w:tcW w:w="97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FB9D1" w14:textId="0B0BACA1" w:rsidR="001242F8" w:rsidRPr="007F7C26" w:rsidRDefault="001242F8" w:rsidP="000F1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4BE8">
              <w:rPr>
                <w:b/>
                <w:noProof/>
                <w:sz w:val="14"/>
                <w:lang w:eastAsia="es-MX"/>
              </w:rPr>
              <w:t>Fuente</w:t>
            </w:r>
            <w:r w:rsidRPr="00C64BE8">
              <w:rPr>
                <w:noProof/>
                <w:sz w:val="14"/>
                <w:lang w:eastAsia="es-MX"/>
              </w:rPr>
              <w:t>: Elaboración propia con los datos publicados en el ranking de las mejores universidades de México (América Economía), 201</w:t>
            </w:r>
            <w:r w:rsidR="000F189E" w:rsidRPr="00C64BE8">
              <w:rPr>
                <w:noProof/>
                <w:sz w:val="14"/>
                <w:lang w:eastAsia="es-MX"/>
              </w:rPr>
              <w:t>9</w:t>
            </w:r>
            <w:r w:rsidRPr="00C64BE8">
              <w:rPr>
                <w:noProof/>
                <w:sz w:val="14"/>
                <w:lang w:eastAsia="es-MX"/>
              </w:rPr>
              <w:t>.</w:t>
            </w:r>
          </w:p>
        </w:tc>
      </w:tr>
    </w:tbl>
    <w:p w14:paraId="26F4FF74" w14:textId="77777777" w:rsidR="00514AC7" w:rsidRPr="00976D82" w:rsidRDefault="00514AC7" w:rsidP="009D782A">
      <w:pPr>
        <w:pStyle w:val="Prrafodelista"/>
        <w:spacing w:after="0" w:line="240" w:lineRule="auto"/>
        <w:ind w:left="426"/>
        <w:jc w:val="both"/>
        <w:rPr>
          <w:sz w:val="24"/>
        </w:rPr>
      </w:pPr>
    </w:p>
    <w:sectPr w:rsidR="00514AC7" w:rsidRPr="00976D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3A2A0" w14:textId="77777777" w:rsidR="00D00E9A" w:rsidRDefault="00D00E9A" w:rsidP="00C41170">
      <w:pPr>
        <w:spacing w:after="0" w:line="240" w:lineRule="auto"/>
      </w:pPr>
      <w:r>
        <w:separator/>
      </w:r>
    </w:p>
  </w:endnote>
  <w:endnote w:type="continuationSeparator" w:id="0">
    <w:p w14:paraId="458A4F0D" w14:textId="77777777" w:rsidR="00D00E9A" w:rsidRDefault="00D00E9A" w:rsidP="00C4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F37E7" w14:textId="77777777" w:rsidR="00D00E9A" w:rsidRDefault="00D00E9A" w:rsidP="00C41170">
      <w:pPr>
        <w:spacing w:after="0" w:line="240" w:lineRule="auto"/>
      </w:pPr>
      <w:r>
        <w:separator/>
      </w:r>
    </w:p>
  </w:footnote>
  <w:footnote w:type="continuationSeparator" w:id="0">
    <w:p w14:paraId="7B632B06" w14:textId="77777777" w:rsidR="00D00E9A" w:rsidRDefault="00D00E9A" w:rsidP="00C41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A583F"/>
    <w:multiLevelType w:val="hybridMultilevel"/>
    <w:tmpl w:val="EE2483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7C96"/>
    <w:multiLevelType w:val="hybridMultilevel"/>
    <w:tmpl w:val="148A707A"/>
    <w:lvl w:ilvl="0" w:tplc="E0EA29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7F0"/>
    <w:multiLevelType w:val="hybridMultilevel"/>
    <w:tmpl w:val="EB00DBDC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2D243B"/>
    <w:multiLevelType w:val="hybridMultilevel"/>
    <w:tmpl w:val="49469008"/>
    <w:lvl w:ilvl="0" w:tplc="080A0017">
      <w:start w:val="1"/>
      <w:numFmt w:val="lowerLetter"/>
      <w:lvlText w:val="%1)"/>
      <w:lvlJc w:val="left"/>
      <w:pPr>
        <w:ind w:left="250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 w15:restartNumberingAfterBreak="0">
    <w:nsid w:val="360779DF"/>
    <w:multiLevelType w:val="hybridMultilevel"/>
    <w:tmpl w:val="DC3461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4369"/>
    <w:multiLevelType w:val="hybridMultilevel"/>
    <w:tmpl w:val="A516CD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F36934"/>
    <w:multiLevelType w:val="hybridMultilevel"/>
    <w:tmpl w:val="91D89B0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3C6690"/>
    <w:multiLevelType w:val="hybridMultilevel"/>
    <w:tmpl w:val="EE2483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1715E"/>
    <w:multiLevelType w:val="hybridMultilevel"/>
    <w:tmpl w:val="F1E213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32A0A"/>
    <w:multiLevelType w:val="hybridMultilevel"/>
    <w:tmpl w:val="467C62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71206"/>
    <w:multiLevelType w:val="hybridMultilevel"/>
    <w:tmpl w:val="36E2E1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47DB5"/>
    <w:multiLevelType w:val="hybridMultilevel"/>
    <w:tmpl w:val="BE2C15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84BD2"/>
    <w:multiLevelType w:val="hybridMultilevel"/>
    <w:tmpl w:val="0CCC5744"/>
    <w:lvl w:ilvl="0" w:tplc="08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7A124999"/>
    <w:multiLevelType w:val="hybridMultilevel"/>
    <w:tmpl w:val="148A707A"/>
    <w:lvl w:ilvl="0" w:tplc="E0EA29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1"/>
  </w:num>
  <w:num w:numId="11">
    <w:abstractNumId w:val="7"/>
  </w:num>
  <w:num w:numId="12">
    <w:abstractNumId w:val="8"/>
  </w:num>
  <w:num w:numId="13">
    <w:abstractNumId w:val="4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87"/>
    <w:rsid w:val="00004EDA"/>
    <w:rsid w:val="0000633B"/>
    <w:rsid w:val="0002187F"/>
    <w:rsid w:val="00024227"/>
    <w:rsid w:val="000252FD"/>
    <w:rsid w:val="00026204"/>
    <w:rsid w:val="00026805"/>
    <w:rsid w:val="00027D2A"/>
    <w:rsid w:val="0003232C"/>
    <w:rsid w:val="0004030C"/>
    <w:rsid w:val="000419FA"/>
    <w:rsid w:val="00043B07"/>
    <w:rsid w:val="000466C5"/>
    <w:rsid w:val="00046F68"/>
    <w:rsid w:val="0006531B"/>
    <w:rsid w:val="00067A4D"/>
    <w:rsid w:val="00072ABC"/>
    <w:rsid w:val="000755E9"/>
    <w:rsid w:val="00075CFA"/>
    <w:rsid w:val="000806E7"/>
    <w:rsid w:val="00095E29"/>
    <w:rsid w:val="000A62C9"/>
    <w:rsid w:val="000A794E"/>
    <w:rsid w:val="000B3CEF"/>
    <w:rsid w:val="000C31EF"/>
    <w:rsid w:val="000C3D13"/>
    <w:rsid w:val="000C6A1B"/>
    <w:rsid w:val="000D0015"/>
    <w:rsid w:val="000D2FF7"/>
    <w:rsid w:val="000E06F7"/>
    <w:rsid w:val="000E3149"/>
    <w:rsid w:val="000E3D1A"/>
    <w:rsid w:val="000E4209"/>
    <w:rsid w:val="000E5282"/>
    <w:rsid w:val="000F189E"/>
    <w:rsid w:val="000F3986"/>
    <w:rsid w:val="00101170"/>
    <w:rsid w:val="001208F3"/>
    <w:rsid w:val="001217F8"/>
    <w:rsid w:val="00121ECB"/>
    <w:rsid w:val="001242F8"/>
    <w:rsid w:val="00135B1D"/>
    <w:rsid w:val="001511A2"/>
    <w:rsid w:val="00154C1F"/>
    <w:rsid w:val="00162FFD"/>
    <w:rsid w:val="00163BB2"/>
    <w:rsid w:val="0017723B"/>
    <w:rsid w:val="0018140A"/>
    <w:rsid w:val="00185DC2"/>
    <w:rsid w:val="00190AD0"/>
    <w:rsid w:val="00192D00"/>
    <w:rsid w:val="001A286B"/>
    <w:rsid w:val="001A3875"/>
    <w:rsid w:val="001A5BC5"/>
    <w:rsid w:val="001A6B42"/>
    <w:rsid w:val="001B6279"/>
    <w:rsid w:val="001B70F9"/>
    <w:rsid w:val="001C72EC"/>
    <w:rsid w:val="001C74C7"/>
    <w:rsid w:val="001D1F74"/>
    <w:rsid w:val="001D5EBD"/>
    <w:rsid w:val="001E2D17"/>
    <w:rsid w:val="001F1A0D"/>
    <w:rsid w:val="001F34B2"/>
    <w:rsid w:val="001F507B"/>
    <w:rsid w:val="00200345"/>
    <w:rsid w:val="00200691"/>
    <w:rsid w:val="00202ADD"/>
    <w:rsid w:val="002060AF"/>
    <w:rsid w:val="00225246"/>
    <w:rsid w:val="00227399"/>
    <w:rsid w:val="0023315E"/>
    <w:rsid w:val="00234D0C"/>
    <w:rsid w:val="00241FA1"/>
    <w:rsid w:val="00243445"/>
    <w:rsid w:val="00245DE0"/>
    <w:rsid w:val="00246486"/>
    <w:rsid w:val="00255ED9"/>
    <w:rsid w:val="0027673A"/>
    <w:rsid w:val="00276DFC"/>
    <w:rsid w:val="00281101"/>
    <w:rsid w:val="00281678"/>
    <w:rsid w:val="00284A52"/>
    <w:rsid w:val="00286835"/>
    <w:rsid w:val="00287D4C"/>
    <w:rsid w:val="00290141"/>
    <w:rsid w:val="00291132"/>
    <w:rsid w:val="002938AF"/>
    <w:rsid w:val="002A7AD8"/>
    <w:rsid w:val="002B25F8"/>
    <w:rsid w:val="002B668D"/>
    <w:rsid w:val="002B705F"/>
    <w:rsid w:val="002C2928"/>
    <w:rsid w:val="002C3A01"/>
    <w:rsid w:val="002D2258"/>
    <w:rsid w:val="002E342B"/>
    <w:rsid w:val="002E496D"/>
    <w:rsid w:val="002F62AE"/>
    <w:rsid w:val="00301FFD"/>
    <w:rsid w:val="003062D6"/>
    <w:rsid w:val="00306D26"/>
    <w:rsid w:val="003141C5"/>
    <w:rsid w:val="0031474A"/>
    <w:rsid w:val="003201C2"/>
    <w:rsid w:val="00320A0B"/>
    <w:rsid w:val="00324AC0"/>
    <w:rsid w:val="0032598E"/>
    <w:rsid w:val="00326045"/>
    <w:rsid w:val="00336799"/>
    <w:rsid w:val="00337117"/>
    <w:rsid w:val="00340E95"/>
    <w:rsid w:val="0034255B"/>
    <w:rsid w:val="00344794"/>
    <w:rsid w:val="00354E9F"/>
    <w:rsid w:val="0036755E"/>
    <w:rsid w:val="00367CB0"/>
    <w:rsid w:val="00367F14"/>
    <w:rsid w:val="00372306"/>
    <w:rsid w:val="00390555"/>
    <w:rsid w:val="0039095F"/>
    <w:rsid w:val="00392FEF"/>
    <w:rsid w:val="003A7911"/>
    <w:rsid w:val="003B74C3"/>
    <w:rsid w:val="003B756B"/>
    <w:rsid w:val="003C078B"/>
    <w:rsid w:val="003C102E"/>
    <w:rsid w:val="003C1B6F"/>
    <w:rsid w:val="003C46EA"/>
    <w:rsid w:val="003C71DE"/>
    <w:rsid w:val="003E16DB"/>
    <w:rsid w:val="003E1861"/>
    <w:rsid w:val="003E2616"/>
    <w:rsid w:val="003E470C"/>
    <w:rsid w:val="003F330E"/>
    <w:rsid w:val="003F49B2"/>
    <w:rsid w:val="003F5BD0"/>
    <w:rsid w:val="003F6DF0"/>
    <w:rsid w:val="003F75A3"/>
    <w:rsid w:val="003F7797"/>
    <w:rsid w:val="00400C3E"/>
    <w:rsid w:val="004040BD"/>
    <w:rsid w:val="004052AE"/>
    <w:rsid w:val="00406263"/>
    <w:rsid w:val="00407940"/>
    <w:rsid w:val="00415337"/>
    <w:rsid w:val="00415767"/>
    <w:rsid w:val="00427B36"/>
    <w:rsid w:val="00427D52"/>
    <w:rsid w:val="00431299"/>
    <w:rsid w:val="004333C9"/>
    <w:rsid w:val="00435488"/>
    <w:rsid w:val="00436F53"/>
    <w:rsid w:val="004428C5"/>
    <w:rsid w:val="00444680"/>
    <w:rsid w:val="00450CB1"/>
    <w:rsid w:val="0045419E"/>
    <w:rsid w:val="00460435"/>
    <w:rsid w:val="004655D1"/>
    <w:rsid w:val="004762AB"/>
    <w:rsid w:val="00477856"/>
    <w:rsid w:val="00483093"/>
    <w:rsid w:val="004A0BCC"/>
    <w:rsid w:val="004A5CDA"/>
    <w:rsid w:val="004B11C6"/>
    <w:rsid w:val="004B4A0F"/>
    <w:rsid w:val="004B530E"/>
    <w:rsid w:val="004B6870"/>
    <w:rsid w:val="004C4F5D"/>
    <w:rsid w:val="004C5FAD"/>
    <w:rsid w:val="004D205D"/>
    <w:rsid w:val="004D7EF7"/>
    <w:rsid w:val="004F2B41"/>
    <w:rsid w:val="004F61D3"/>
    <w:rsid w:val="005001B4"/>
    <w:rsid w:val="00501E62"/>
    <w:rsid w:val="0050401D"/>
    <w:rsid w:val="00513426"/>
    <w:rsid w:val="00513E8A"/>
    <w:rsid w:val="00514AC7"/>
    <w:rsid w:val="00516B87"/>
    <w:rsid w:val="0052065E"/>
    <w:rsid w:val="00533C84"/>
    <w:rsid w:val="0054222F"/>
    <w:rsid w:val="005427A3"/>
    <w:rsid w:val="0054305B"/>
    <w:rsid w:val="00551DE0"/>
    <w:rsid w:val="00561292"/>
    <w:rsid w:val="005612C8"/>
    <w:rsid w:val="0057134F"/>
    <w:rsid w:val="00573E61"/>
    <w:rsid w:val="00575789"/>
    <w:rsid w:val="005774E0"/>
    <w:rsid w:val="00581873"/>
    <w:rsid w:val="00582693"/>
    <w:rsid w:val="0059116F"/>
    <w:rsid w:val="005A3BA0"/>
    <w:rsid w:val="005A4AEB"/>
    <w:rsid w:val="005B1ECF"/>
    <w:rsid w:val="005B26E1"/>
    <w:rsid w:val="005B291C"/>
    <w:rsid w:val="005B79EA"/>
    <w:rsid w:val="005B7D9C"/>
    <w:rsid w:val="005C38EE"/>
    <w:rsid w:val="005C4EF5"/>
    <w:rsid w:val="005C563E"/>
    <w:rsid w:val="005D07B4"/>
    <w:rsid w:val="005E02C6"/>
    <w:rsid w:val="005E484A"/>
    <w:rsid w:val="00602A12"/>
    <w:rsid w:val="0060365B"/>
    <w:rsid w:val="00612F03"/>
    <w:rsid w:val="00613A2C"/>
    <w:rsid w:val="00622396"/>
    <w:rsid w:val="006355D9"/>
    <w:rsid w:val="00652FD6"/>
    <w:rsid w:val="00657B09"/>
    <w:rsid w:val="00662F4D"/>
    <w:rsid w:val="00670550"/>
    <w:rsid w:val="006736A3"/>
    <w:rsid w:val="0067403C"/>
    <w:rsid w:val="00675AA8"/>
    <w:rsid w:val="00681E7E"/>
    <w:rsid w:val="006A21AB"/>
    <w:rsid w:val="006A60F4"/>
    <w:rsid w:val="006A72FA"/>
    <w:rsid w:val="006B05EF"/>
    <w:rsid w:val="006B4AF0"/>
    <w:rsid w:val="006C06E9"/>
    <w:rsid w:val="006C7BE7"/>
    <w:rsid w:val="006F279A"/>
    <w:rsid w:val="006F4917"/>
    <w:rsid w:val="006F5206"/>
    <w:rsid w:val="006F5883"/>
    <w:rsid w:val="007018B4"/>
    <w:rsid w:val="00702513"/>
    <w:rsid w:val="00706190"/>
    <w:rsid w:val="00706BE2"/>
    <w:rsid w:val="0071426C"/>
    <w:rsid w:val="00722D0E"/>
    <w:rsid w:val="00724755"/>
    <w:rsid w:val="00740984"/>
    <w:rsid w:val="00744819"/>
    <w:rsid w:val="00744FFF"/>
    <w:rsid w:val="00754BE1"/>
    <w:rsid w:val="00764158"/>
    <w:rsid w:val="007641C3"/>
    <w:rsid w:val="00776C1B"/>
    <w:rsid w:val="00785E55"/>
    <w:rsid w:val="0079092E"/>
    <w:rsid w:val="00795016"/>
    <w:rsid w:val="00796B30"/>
    <w:rsid w:val="007B2B33"/>
    <w:rsid w:val="007B4D15"/>
    <w:rsid w:val="007B5DBB"/>
    <w:rsid w:val="007D0730"/>
    <w:rsid w:val="007D1993"/>
    <w:rsid w:val="007E1D81"/>
    <w:rsid w:val="007E580C"/>
    <w:rsid w:val="007F088B"/>
    <w:rsid w:val="007F3955"/>
    <w:rsid w:val="007F72AE"/>
    <w:rsid w:val="007F746F"/>
    <w:rsid w:val="007F7C26"/>
    <w:rsid w:val="008005A1"/>
    <w:rsid w:val="0080125E"/>
    <w:rsid w:val="00801732"/>
    <w:rsid w:val="00802E1C"/>
    <w:rsid w:val="0080512B"/>
    <w:rsid w:val="00815491"/>
    <w:rsid w:val="00835B0A"/>
    <w:rsid w:val="0083640D"/>
    <w:rsid w:val="0084390E"/>
    <w:rsid w:val="00850B96"/>
    <w:rsid w:val="00853960"/>
    <w:rsid w:val="0086121E"/>
    <w:rsid w:val="0086322B"/>
    <w:rsid w:val="008638CC"/>
    <w:rsid w:val="008704FC"/>
    <w:rsid w:val="00874987"/>
    <w:rsid w:val="00876A66"/>
    <w:rsid w:val="00880752"/>
    <w:rsid w:val="00882F70"/>
    <w:rsid w:val="008854CD"/>
    <w:rsid w:val="00894FE3"/>
    <w:rsid w:val="008B3929"/>
    <w:rsid w:val="008C176E"/>
    <w:rsid w:val="008C370A"/>
    <w:rsid w:val="008D4122"/>
    <w:rsid w:val="008F2D1A"/>
    <w:rsid w:val="008F5458"/>
    <w:rsid w:val="00900D6F"/>
    <w:rsid w:val="00903EBE"/>
    <w:rsid w:val="009065C4"/>
    <w:rsid w:val="00910E42"/>
    <w:rsid w:val="00912A2B"/>
    <w:rsid w:val="0091324E"/>
    <w:rsid w:val="009140CF"/>
    <w:rsid w:val="00921215"/>
    <w:rsid w:val="009265F9"/>
    <w:rsid w:val="00927179"/>
    <w:rsid w:val="00932183"/>
    <w:rsid w:val="0093372F"/>
    <w:rsid w:val="00943367"/>
    <w:rsid w:val="00950B74"/>
    <w:rsid w:val="00950D2D"/>
    <w:rsid w:val="00954A07"/>
    <w:rsid w:val="00954CDE"/>
    <w:rsid w:val="00955161"/>
    <w:rsid w:val="009618E6"/>
    <w:rsid w:val="00963377"/>
    <w:rsid w:val="009636DB"/>
    <w:rsid w:val="00966674"/>
    <w:rsid w:val="00967EB9"/>
    <w:rsid w:val="0097111C"/>
    <w:rsid w:val="009759D9"/>
    <w:rsid w:val="00976D82"/>
    <w:rsid w:val="0097768D"/>
    <w:rsid w:val="00981BE7"/>
    <w:rsid w:val="00981CD5"/>
    <w:rsid w:val="009857C4"/>
    <w:rsid w:val="009862C8"/>
    <w:rsid w:val="0098633D"/>
    <w:rsid w:val="0099194A"/>
    <w:rsid w:val="009951D4"/>
    <w:rsid w:val="00995A41"/>
    <w:rsid w:val="009A0FED"/>
    <w:rsid w:val="009A332C"/>
    <w:rsid w:val="009A7768"/>
    <w:rsid w:val="009B22AB"/>
    <w:rsid w:val="009B4279"/>
    <w:rsid w:val="009B4626"/>
    <w:rsid w:val="009C63BC"/>
    <w:rsid w:val="009C71BD"/>
    <w:rsid w:val="009D0F5E"/>
    <w:rsid w:val="009D416B"/>
    <w:rsid w:val="009D782A"/>
    <w:rsid w:val="009F4A57"/>
    <w:rsid w:val="00A0184E"/>
    <w:rsid w:val="00A301BB"/>
    <w:rsid w:val="00A320B9"/>
    <w:rsid w:val="00A41615"/>
    <w:rsid w:val="00A41BAA"/>
    <w:rsid w:val="00A468D4"/>
    <w:rsid w:val="00A5000B"/>
    <w:rsid w:val="00A52257"/>
    <w:rsid w:val="00A563BB"/>
    <w:rsid w:val="00A5715F"/>
    <w:rsid w:val="00A63125"/>
    <w:rsid w:val="00A66A80"/>
    <w:rsid w:val="00A71A4C"/>
    <w:rsid w:val="00A73BFA"/>
    <w:rsid w:val="00A76917"/>
    <w:rsid w:val="00A8073F"/>
    <w:rsid w:val="00A9007D"/>
    <w:rsid w:val="00A9401C"/>
    <w:rsid w:val="00A952B2"/>
    <w:rsid w:val="00AA1552"/>
    <w:rsid w:val="00AB0508"/>
    <w:rsid w:val="00AB1258"/>
    <w:rsid w:val="00AB4776"/>
    <w:rsid w:val="00AB49FC"/>
    <w:rsid w:val="00AB7217"/>
    <w:rsid w:val="00AB7E54"/>
    <w:rsid w:val="00AC3FEF"/>
    <w:rsid w:val="00AC6036"/>
    <w:rsid w:val="00AD355D"/>
    <w:rsid w:val="00AD7417"/>
    <w:rsid w:val="00AE30E1"/>
    <w:rsid w:val="00AE5228"/>
    <w:rsid w:val="00AE7143"/>
    <w:rsid w:val="00AF10A3"/>
    <w:rsid w:val="00AF2B49"/>
    <w:rsid w:val="00AF3EB1"/>
    <w:rsid w:val="00AF4F1A"/>
    <w:rsid w:val="00AF7885"/>
    <w:rsid w:val="00B00D95"/>
    <w:rsid w:val="00B02E27"/>
    <w:rsid w:val="00B1058D"/>
    <w:rsid w:val="00B11123"/>
    <w:rsid w:val="00B133FD"/>
    <w:rsid w:val="00B167FE"/>
    <w:rsid w:val="00B21449"/>
    <w:rsid w:val="00B2718E"/>
    <w:rsid w:val="00B331E1"/>
    <w:rsid w:val="00B33DF2"/>
    <w:rsid w:val="00B36FBB"/>
    <w:rsid w:val="00B57999"/>
    <w:rsid w:val="00B60335"/>
    <w:rsid w:val="00B60353"/>
    <w:rsid w:val="00B74898"/>
    <w:rsid w:val="00B80F2A"/>
    <w:rsid w:val="00B84CB7"/>
    <w:rsid w:val="00B9735A"/>
    <w:rsid w:val="00BB06B9"/>
    <w:rsid w:val="00BB3985"/>
    <w:rsid w:val="00BC108B"/>
    <w:rsid w:val="00BC5A1E"/>
    <w:rsid w:val="00BC64E4"/>
    <w:rsid w:val="00BD2024"/>
    <w:rsid w:val="00C004E1"/>
    <w:rsid w:val="00C0735B"/>
    <w:rsid w:val="00C23E8C"/>
    <w:rsid w:val="00C25E1F"/>
    <w:rsid w:val="00C26FE7"/>
    <w:rsid w:val="00C41170"/>
    <w:rsid w:val="00C45D7A"/>
    <w:rsid w:val="00C55B9C"/>
    <w:rsid w:val="00C568D8"/>
    <w:rsid w:val="00C625AC"/>
    <w:rsid w:val="00C64BE8"/>
    <w:rsid w:val="00C65301"/>
    <w:rsid w:val="00C66FE5"/>
    <w:rsid w:val="00C74D3D"/>
    <w:rsid w:val="00C75EC4"/>
    <w:rsid w:val="00C82F7B"/>
    <w:rsid w:val="00C85675"/>
    <w:rsid w:val="00C856B6"/>
    <w:rsid w:val="00C90F5D"/>
    <w:rsid w:val="00C96CAA"/>
    <w:rsid w:val="00CA0B0D"/>
    <w:rsid w:val="00CA0D51"/>
    <w:rsid w:val="00CA7F40"/>
    <w:rsid w:val="00CB216C"/>
    <w:rsid w:val="00CB6F53"/>
    <w:rsid w:val="00CB7710"/>
    <w:rsid w:val="00CC11D7"/>
    <w:rsid w:val="00CC43D6"/>
    <w:rsid w:val="00CE1B0F"/>
    <w:rsid w:val="00CE644D"/>
    <w:rsid w:val="00CF10C8"/>
    <w:rsid w:val="00CF49CA"/>
    <w:rsid w:val="00CF5F4D"/>
    <w:rsid w:val="00D00E9A"/>
    <w:rsid w:val="00D0231C"/>
    <w:rsid w:val="00D069A4"/>
    <w:rsid w:val="00D110B7"/>
    <w:rsid w:val="00D246B5"/>
    <w:rsid w:val="00D3091D"/>
    <w:rsid w:val="00D333FD"/>
    <w:rsid w:val="00D37210"/>
    <w:rsid w:val="00D41D2A"/>
    <w:rsid w:val="00D51069"/>
    <w:rsid w:val="00D51C3B"/>
    <w:rsid w:val="00D5537D"/>
    <w:rsid w:val="00D55974"/>
    <w:rsid w:val="00D55C1E"/>
    <w:rsid w:val="00D70652"/>
    <w:rsid w:val="00D71753"/>
    <w:rsid w:val="00D7465F"/>
    <w:rsid w:val="00D76DF8"/>
    <w:rsid w:val="00D8282A"/>
    <w:rsid w:val="00D8424B"/>
    <w:rsid w:val="00DA0386"/>
    <w:rsid w:val="00DA4298"/>
    <w:rsid w:val="00DA5EDB"/>
    <w:rsid w:val="00DA70FB"/>
    <w:rsid w:val="00DB47D3"/>
    <w:rsid w:val="00DB747E"/>
    <w:rsid w:val="00DC4030"/>
    <w:rsid w:val="00DD6158"/>
    <w:rsid w:val="00DE4EA8"/>
    <w:rsid w:val="00DF1EAA"/>
    <w:rsid w:val="00DF33AF"/>
    <w:rsid w:val="00DF38E0"/>
    <w:rsid w:val="00E00762"/>
    <w:rsid w:val="00E10418"/>
    <w:rsid w:val="00E16DB1"/>
    <w:rsid w:val="00E2676F"/>
    <w:rsid w:val="00E26BF2"/>
    <w:rsid w:val="00E4612D"/>
    <w:rsid w:val="00E52BC9"/>
    <w:rsid w:val="00E64262"/>
    <w:rsid w:val="00E6743E"/>
    <w:rsid w:val="00E67EA9"/>
    <w:rsid w:val="00E77A89"/>
    <w:rsid w:val="00E879DC"/>
    <w:rsid w:val="00E93F34"/>
    <w:rsid w:val="00E95970"/>
    <w:rsid w:val="00E95A84"/>
    <w:rsid w:val="00EB1F39"/>
    <w:rsid w:val="00EB3DD6"/>
    <w:rsid w:val="00EC33B1"/>
    <w:rsid w:val="00EC492E"/>
    <w:rsid w:val="00EC761A"/>
    <w:rsid w:val="00EE2F6D"/>
    <w:rsid w:val="00EE6814"/>
    <w:rsid w:val="00EF2EDE"/>
    <w:rsid w:val="00EF4296"/>
    <w:rsid w:val="00EF4BA5"/>
    <w:rsid w:val="00EF4D43"/>
    <w:rsid w:val="00EF7A5E"/>
    <w:rsid w:val="00F04D98"/>
    <w:rsid w:val="00F066F1"/>
    <w:rsid w:val="00F07F38"/>
    <w:rsid w:val="00F3118C"/>
    <w:rsid w:val="00F32B1F"/>
    <w:rsid w:val="00F36CA3"/>
    <w:rsid w:val="00F40098"/>
    <w:rsid w:val="00F4374D"/>
    <w:rsid w:val="00F4398E"/>
    <w:rsid w:val="00F44951"/>
    <w:rsid w:val="00F505AC"/>
    <w:rsid w:val="00F51EB9"/>
    <w:rsid w:val="00F52D8F"/>
    <w:rsid w:val="00F53886"/>
    <w:rsid w:val="00F55B98"/>
    <w:rsid w:val="00F57BA3"/>
    <w:rsid w:val="00F60973"/>
    <w:rsid w:val="00F65136"/>
    <w:rsid w:val="00F73693"/>
    <w:rsid w:val="00F74249"/>
    <w:rsid w:val="00F76BE7"/>
    <w:rsid w:val="00F802AD"/>
    <w:rsid w:val="00F81F73"/>
    <w:rsid w:val="00F84119"/>
    <w:rsid w:val="00FA08BD"/>
    <w:rsid w:val="00FC2854"/>
    <w:rsid w:val="00FD273F"/>
    <w:rsid w:val="00FD6247"/>
    <w:rsid w:val="00FE4A97"/>
    <w:rsid w:val="00FE4B30"/>
    <w:rsid w:val="00FE62EE"/>
    <w:rsid w:val="00FF06D9"/>
    <w:rsid w:val="00FF0EE1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E8D8"/>
  <w15:chartTrackingRefBased/>
  <w15:docId w15:val="{789BB052-50DA-4040-B891-175017D3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9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0069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B3C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3C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C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C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C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CEF"/>
    <w:rPr>
      <w:rFonts w:ascii="Segoe UI" w:hAnsi="Segoe UI" w:cs="Segoe UI"/>
      <w:sz w:val="18"/>
      <w:szCs w:val="18"/>
    </w:rPr>
  </w:style>
  <w:style w:type="table" w:styleId="Tabladecuadrcula4-nfasis5">
    <w:name w:val="Grid Table 4 Accent 5"/>
    <w:basedOn w:val="Tablanormal"/>
    <w:uiPriority w:val="49"/>
    <w:rsid w:val="00E16D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C411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11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117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35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88"/>
  </w:style>
  <w:style w:type="paragraph" w:styleId="Piedepgina">
    <w:name w:val="footer"/>
    <w:basedOn w:val="Normal"/>
    <w:link w:val="PiedepginaCar"/>
    <w:uiPriority w:val="99"/>
    <w:unhideWhenUsed/>
    <w:rsid w:val="00435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2BEF-05C8-4871-AA35-DD4627B4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1797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DGEI Sala de juntas</dc:creator>
  <cp:keywords/>
  <dc:description/>
  <cp:lastModifiedBy>admin</cp:lastModifiedBy>
  <cp:revision>46</cp:revision>
  <cp:lastPrinted>2017-03-27T18:29:00Z</cp:lastPrinted>
  <dcterms:created xsi:type="dcterms:W3CDTF">2018-04-03T19:43:00Z</dcterms:created>
  <dcterms:modified xsi:type="dcterms:W3CDTF">2019-07-23T18:57:00Z</dcterms:modified>
</cp:coreProperties>
</file>