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D5EB3" w14:textId="77777777" w:rsidR="001511A2" w:rsidRPr="00917013" w:rsidRDefault="001511A2" w:rsidP="001B69BB">
      <w:pPr>
        <w:spacing w:after="0" w:line="240" w:lineRule="auto"/>
        <w:jc w:val="center"/>
        <w:rPr>
          <w:b/>
          <w:sz w:val="24"/>
        </w:rPr>
      </w:pPr>
      <w:bookmarkStart w:id="0" w:name="_Hlk68027376"/>
      <w:r w:rsidRPr="00917013">
        <w:rPr>
          <w:b/>
          <w:sz w:val="24"/>
        </w:rPr>
        <w:t>Dirección General de Evaluación Institucional</w:t>
      </w:r>
    </w:p>
    <w:p w14:paraId="6A06AB9A" w14:textId="2AF339D2" w:rsidR="001511A2" w:rsidRPr="00917013" w:rsidRDefault="004833FB" w:rsidP="001B69BB">
      <w:pPr>
        <w:spacing w:after="0" w:line="240" w:lineRule="auto"/>
        <w:jc w:val="center"/>
        <w:rPr>
          <w:b/>
          <w:sz w:val="24"/>
        </w:rPr>
      </w:pPr>
      <w:r w:rsidRPr="00917013">
        <w:rPr>
          <w:b/>
          <w:sz w:val="24"/>
        </w:rPr>
        <w:t xml:space="preserve">Ciudad Universitaria, CDMX, </w:t>
      </w:r>
      <w:r w:rsidR="00C910A0" w:rsidRPr="00917013">
        <w:rPr>
          <w:b/>
          <w:sz w:val="24"/>
        </w:rPr>
        <w:t>30</w:t>
      </w:r>
      <w:r w:rsidR="009610F1" w:rsidRPr="00917013">
        <w:rPr>
          <w:b/>
          <w:sz w:val="24"/>
        </w:rPr>
        <w:t xml:space="preserve"> </w:t>
      </w:r>
      <w:r w:rsidR="001511A2" w:rsidRPr="00917013">
        <w:rPr>
          <w:b/>
          <w:sz w:val="24"/>
        </w:rPr>
        <w:t xml:space="preserve">de </w:t>
      </w:r>
      <w:r w:rsidR="001A4767" w:rsidRPr="00917013">
        <w:rPr>
          <w:b/>
          <w:sz w:val="24"/>
        </w:rPr>
        <w:t>marzo</w:t>
      </w:r>
      <w:r w:rsidR="00AE3FEE" w:rsidRPr="00917013">
        <w:rPr>
          <w:b/>
          <w:sz w:val="24"/>
        </w:rPr>
        <w:t xml:space="preserve"> </w:t>
      </w:r>
      <w:r w:rsidR="0021323D" w:rsidRPr="00917013">
        <w:rPr>
          <w:b/>
          <w:sz w:val="24"/>
        </w:rPr>
        <w:t xml:space="preserve">de </w:t>
      </w:r>
      <w:r w:rsidR="009610F1" w:rsidRPr="00917013">
        <w:rPr>
          <w:b/>
          <w:sz w:val="24"/>
        </w:rPr>
        <w:t>202</w:t>
      </w:r>
      <w:r w:rsidRPr="00917013">
        <w:rPr>
          <w:b/>
          <w:sz w:val="24"/>
        </w:rPr>
        <w:t>1</w:t>
      </w:r>
    </w:p>
    <w:p w14:paraId="1CF22417" w14:textId="77777777" w:rsidR="001511A2" w:rsidRPr="00917013" w:rsidRDefault="001511A2" w:rsidP="001B69BB">
      <w:pPr>
        <w:spacing w:after="0" w:line="240" w:lineRule="auto"/>
        <w:jc w:val="center"/>
        <w:rPr>
          <w:b/>
          <w:sz w:val="24"/>
        </w:rPr>
      </w:pPr>
    </w:p>
    <w:p w14:paraId="19AA5CC7" w14:textId="65FC135E" w:rsidR="00061608" w:rsidRPr="00917013" w:rsidRDefault="00061608" w:rsidP="001B69BB">
      <w:pPr>
        <w:spacing w:after="0" w:line="240" w:lineRule="auto"/>
        <w:jc w:val="center"/>
        <w:rPr>
          <w:b/>
          <w:sz w:val="28"/>
          <w:szCs w:val="28"/>
        </w:rPr>
      </w:pPr>
      <w:r w:rsidRPr="00917013">
        <w:rPr>
          <w:b/>
          <w:sz w:val="28"/>
          <w:szCs w:val="28"/>
        </w:rPr>
        <w:t>UNAM EN EL RANKING</w:t>
      </w:r>
      <w:r w:rsidR="00B779EC" w:rsidRPr="00917013">
        <w:rPr>
          <w:b/>
          <w:sz w:val="28"/>
          <w:szCs w:val="28"/>
        </w:rPr>
        <w:t xml:space="preserve"> </w:t>
      </w:r>
      <w:r w:rsidR="00B779EC" w:rsidRPr="00034688">
        <w:rPr>
          <w:b/>
          <w:i/>
          <w:iCs/>
          <w:sz w:val="28"/>
          <w:szCs w:val="28"/>
        </w:rPr>
        <w:t>REFORMA</w:t>
      </w:r>
      <w:r w:rsidR="00B779EC" w:rsidRPr="00917013">
        <w:rPr>
          <w:b/>
          <w:sz w:val="28"/>
          <w:szCs w:val="28"/>
        </w:rPr>
        <w:t xml:space="preserve"> “</w:t>
      </w:r>
      <w:r w:rsidRPr="00917013">
        <w:rPr>
          <w:b/>
          <w:sz w:val="28"/>
          <w:szCs w:val="28"/>
        </w:rPr>
        <w:t>LAS MEJORES UNIVERSIDADES</w:t>
      </w:r>
      <w:r w:rsidR="00B779EC" w:rsidRPr="00917013">
        <w:rPr>
          <w:b/>
          <w:sz w:val="28"/>
          <w:szCs w:val="28"/>
        </w:rPr>
        <w:t>”</w:t>
      </w:r>
      <w:r w:rsidRPr="00917013">
        <w:rPr>
          <w:b/>
          <w:sz w:val="28"/>
          <w:szCs w:val="28"/>
        </w:rPr>
        <w:t xml:space="preserve"> </w:t>
      </w:r>
    </w:p>
    <w:p w14:paraId="206DCAFA" w14:textId="77777777" w:rsidR="00EF2EDE" w:rsidRPr="00917013" w:rsidRDefault="00EF2EDE" w:rsidP="001B69BB">
      <w:pPr>
        <w:spacing w:after="0" w:line="240" w:lineRule="auto"/>
        <w:rPr>
          <w:sz w:val="24"/>
        </w:rPr>
      </w:pPr>
    </w:p>
    <w:p w14:paraId="71F350F7" w14:textId="13D5557C" w:rsidR="00A66A80" w:rsidRPr="00917013" w:rsidRDefault="00A66A80" w:rsidP="001266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917013">
        <w:rPr>
          <w:sz w:val="24"/>
        </w:rPr>
        <w:t xml:space="preserve">El </w:t>
      </w:r>
      <w:r w:rsidR="00F375D2" w:rsidRPr="00917013">
        <w:rPr>
          <w:sz w:val="24"/>
        </w:rPr>
        <w:t>periódico</w:t>
      </w:r>
      <w:r w:rsidR="00BA7D83">
        <w:rPr>
          <w:sz w:val="24"/>
        </w:rPr>
        <w:t xml:space="preserve"> mexicano</w:t>
      </w:r>
      <w:r w:rsidR="00F375D2" w:rsidRPr="00917013">
        <w:rPr>
          <w:sz w:val="24"/>
        </w:rPr>
        <w:t xml:space="preserve"> </w:t>
      </w:r>
      <w:r w:rsidR="00281678" w:rsidRPr="00034688">
        <w:rPr>
          <w:i/>
          <w:iCs/>
          <w:sz w:val="24"/>
        </w:rPr>
        <w:t>Reforma</w:t>
      </w:r>
      <w:r w:rsidR="00AF10A3" w:rsidRPr="00034688">
        <w:rPr>
          <w:i/>
          <w:iCs/>
          <w:sz w:val="24"/>
        </w:rPr>
        <w:t xml:space="preserve"> </w:t>
      </w:r>
      <w:r w:rsidR="0012666B" w:rsidRPr="00917013">
        <w:rPr>
          <w:sz w:val="24"/>
        </w:rPr>
        <w:t>publicó los resultados del ranking “Las Mejores Universidades 2021” el día 28 de marzo de 2021.</w:t>
      </w:r>
    </w:p>
    <w:p w14:paraId="4D5D32E5" w14:textId="77777777" w:rsidR="0012666B" w:rsidRPr="00917013" w:rsidRDefault="0012666B" w:rsidP="0012666B">
      <w:pPr>
        <w:pStyle w:val="ListParagraph"/>
        <w:spacing w:after="0" w:line="240" w:lineRule="auto"/>
        <w:jc w:val="both"/>
        <w:rPr>
          <w:sz w:val="24"/>
        </w:rPr>
      </w:pPr>
    </w:p>
    <w:p w14:paraId="70608A28" w14:textId="1D5CD979" w:rsidR="00F36713" w:rsidRDefault="00D110B7" w:rsidP="008434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FB70B3">
        <w:rPr>
          <w:sz w:val="24"/>
        </w:rPr>
        <w:t xml:space="preserve">En </w:t>
      </w:r>
      <w:r w:rsidR="005D5040" w:rsidRPr="00FB70B3">
        <w:rPr>
          <w:sz w:val="24"/>
        </w:rPr>
        <w:t xml:space="preserve">el ranking </w:t>
      </w:r>
      <w:r w:rsidR="005D5040" w:rsidRPr="00FB70B3">
        <w:rPr>
          <w:i/>
          <w:iCs/>
          <w:sz w:val="24"/>
        </w:rPr>
        <w:t>Reforma 20</w:t>
      </w:r>
      <w:r w:rsidR="009610F1" w:rsidRPr="00FB70B3">
        <w:rPr>
          <w:i/>
          <w:iCs/>
          <w:sz w:val="24"/>
        </w:rPr>
        <w:t>2</w:t>
      </w:r>
      <w:r w:rsidR="00FF71CF" w:rsidRPr="00FB70B3">
        <w:rPr>
          <w:i/>
          <w:iCs/>
          <w:sz w:val="24"/>
        </w:rPr>
        <w:t>1</w:t>
      </w:r>
      <w:r w:rsidR="0066477B" w:rsidRPr="00FB70B3">
        <w:rPr>
          <w:sz w:val="24"/>
        </w:rPr>
        <w:t>, l</w:t>
      </w:r>
      <w:r w:rsidRPr="00FB70B3">
        <w:rPr>
          <w:sz w:val="24"/>
        </w:rPr>
        <w:t xml:space="preserve">a UNAM </w:t>
      </w:r>
      <w:r w:rsidR="003547B8" w:rsidRPr="00FB70B3">
        <w:rPr>
          <w:sz w:val="24"/>
        </w:rPr>
        <w:t xml:space="preserve">y el ITESM fueron las dos instituciones con el mayor número de </w:t>
      </w:r>
      <w:r w:rsidR="001F5E33" w:rsidRPr="00FB70B3">
        <w:rPr>
          <w:sz w:val="24"/>
        </w:rPr>
        <w:t xml:space="preserve">programas de licenciatura </w:t>
      </w:r>
      <w:r w:rsidR="003547B8" w:rsidRPr="00FB70B3">
        <w:rPr>
          <w:sz w:val="24"/>
        </w:rPr>
        <w:t xml:space="preserve">considerados; cada una tuvo 14 programas </w:t>
      </w:r>
      <w:r w:rsidR="001F5E33" w:rsidRPr="00FB70B3">
        <w:rPr>
          <w:sz w:val="24"/>
        </w:rPr>
        <w:t>de los 1</w:t>
      </w:r>
      <w:r w:rsidR="008B786B" w:rsidRPr="00FB70B3">
        <w:rPr>
          <w:sz w:val="24"/>
        </w:rPr>
        <w:t>7</w:t>
      </w:r>
      <w:r w:rsidR="001F5E33" w:rsidRPr="00FB70B3">
        <w:rPr>
          <w:sz w:val="24"/>
        </w:rPr>
        <w:t xml:space="preserve"> considerados por el ranking</w:t>
      </w:r>
      <w:r w:rsidR="00A17F32" w:rsidRPr="00FB70B3">
        <w:rPr>
          <w:sz w:val="24"/>
        </w:rPr>
        <w:t xml:space="preserve">. </w:t>
      </w:r>
    </w:p>
    <w:p w14:paraId="0E0FBD78" w14:textId="77777777" w:rsidR="00843460" w:rsidRPr="00843460" w:rsidRDefault="00843460" w:rsidP="00843460">
      <w:pPr>
        <w:spacing w:after="0" w:line="240" w:lineRule="auto"/>
        <w:jc w:val="both"/>
        <w:rPr>
          <w:sz w:val="24"/>
        </w:rPr>
      </w:pPr>
    </w:p>
    <w:p w14:paraId="7BC03059" w14:textId="77777777" w:rsidR="00A10130" w:rsidRPr="00A10130" w:rsidRDefault="00A10130" w:rsidP="00A101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A10130">
        <w:rPr>
          <w:sz w:val="24"/>
        </w:rPr>
        <w:t xml:space="preserve">Entre los programas evaluados de la UNAM, 2 fueron clasificados en el 1º lugar, 3 en el 2º, 3 en el 3º, 2 en el 4º, 2 en el 5º, 1 en el 6º, y 1 en el 7º lugar. </w:t>
      </w:r>
    </w:p>
    <w:p w14:paraId="4549CDC9" w14:textId="77777777" w:rsidR="00A10130" w:rsidRPr="00A10130" w:rsidRDefault="00A10130" w:rsidP="00A10130">
      <w:pPr>
        <w:pStyle w:val="ListParagraph"/>
        <w:rPr>
          <w:sz w:val="24"/>
        </w:rPr>
      </w:pPr>
    </w:p>
    <w:p w14:paraId="58DF169A" w14:textId="3BCF4ED3" w:rsidR="00A10130" w:rsidRPr="00A10130" w:rsidRDefault="00A10130" w:rsidP="00A101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A17F32">
        <w:rPr>
          <w:sz w:val="24"/>
        </w:rPr>
        <w:t>La UNAM no fue clasificada en 3 programas de licenciatura debido a que la universidad no cuenta con las carreras de Finanzas, Gastronomía y Mercadotecnia.</w:t>
      </w:r>
      <w:r>
        <w:rPr>
          <w:sz w:val="24"/>
        </w:rPr>
        <w:t xml:space="preserve"> </w:t>
      </w:r>
      <w:r w:rsidRPr="00A17F32">
        <w:rPr>
          <w:sz w:val="24"/>
        </w:rPr>
        <w:t>Para el propósito de este análisis general solo se tomarán en cuenta los programas en los que participa la UNAM.</w:t>
      </w:r>
    </w:p>
    <w:p w14:paraId="39D24F3A" w14:textId="77777777" w:rsidR="00580254" w:rsidRPr="00917013" w:rsidRDefault="00580254" w:rsidP="0012666B">
      <w:pPr>
        <w:pStyle w:val="ListParagraph"/>
        <w:spacing w:after="0" w:line="240" w:lineRule="auto"/>
        <w:jc w:val="both"/>
        <w:rPr>
          <w:sz w:val="24"/>
        </w:rPr>
      </w:pPr>
    </w:p>
    <w:p w14:paraId="670515AB" w14:textId="618096B3" w:rsidR="001C766C" w:rsidRDefault="001C766C" w:rsidP="0012666B">
      <w:pPr>
        <w:pStyle w:val="ListParagraph"/>
        <w:spacing w:after="0" w:line="240" w:lineRule="auto"/>
        <w:jc w:val="both"/>
        <w:rPr>
          <w:b/>
          <w:sz w:val="24"/>
        </w:rPr>
      </w:pPr>
      <w:r w:rsidRPr="00917013">
        <w:rPr>
          <w:b/>
          <w:sz w:val="24"/>
        </w:rPr>
        <w:t>Metodología</w:t>
      </w:r>
    </w:p>
    <w:p w14:paraId="1D223835" w14:textId="77777777" w:rsidR="008E661D" w:rsidRPr="00917013" w:rsidRDefault="008E661D" w:rsidP="0012666B">
      <w:pPr>
        <w:pStyle w:val="ListParagraph"/>
        <w:spacing w:after="0" w:line="240" w:lineRule="auto"/>
        <w:jc w:val="both"/>
        <w:rPr>
          <w:sz w:val="24"/>
        </w:rPr>
      </w:pPr>
    </w:p>
    <w:p w14:paraId="3C5B0C6C" w14:textId="44D738B0" w:rsidR="00975906" w:rsidRDefault="00975906" w:rsidP="009759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917013">
        <w:rPr>
          <w:sz w:val="24"/>
        </w:rPr>
        <w:t xml:space="preserve">Las </w:t>
      </w:r>
      <w:r w:rsidR="00BA7D83">
        <w:rPr>
          <w:sz w:val="24"/>
        </w:rPr>
        <w:t>u</w:t>
      </w:r>
      <w:r w:rsidRPr="00917013">
        <w:rPr>
          <w:sz w:val="24"/>
        </w:rPr>
        <w:t>niversidades</w:t>
      </w:r>
      <w:r w:rsidR="00BA7D83">
        <w:rPr>
          <w:sz w:val="24"/>
        </w:rPr>
        <w:t xml:space="preserve"> consideradas por el ranking</w:t>
      </w:r>
      <w:r w:rsidRPr="00917013">
        <w:rPr>
          <w:sz w:val="24"/>
        </w:rPr>
        <w:t xml:space="preserve"> deben estar afiliadas a la Asociación Nacional de Universidades e Instituciones de Educación Superior (ANUIES)</w:t>
      </w:r>
      <w:r w:rsidR="00BA7D83">
        <w:rPr>
          <w:sz w:val="24"/>
        </w:rPr>
        <w:t>. Además, deben</w:t>
      </w:r>
      <w:r w:rsidRPr="00917013">
        <w:rPr>
          <w:sz w:val="24"/>
        </w:rPr>
        <w:t xml:space="preserve"> contar con un mínimo de 40 estudiantes matriculados por carrera en un programa de estudio con validez oficial, y tener al menos dos generaciones de egresados por carrera. Como criterio de exclusión, las carreras </w:t>
      </w:r>
      <w:r w:rsidR="00A00676" w:rsidRPr="00917013">
        <w:rPr>
          <w:sz w:val="24"/>
        </w:rPr>
        <w:t xml:space="preserve">deben </w:t>
      </w:r>
      <w:r w:rsidRPr="00917013">
        <w:rPr>
          <w:sz w:val="24"/>
        </w:rPr>
        <w:t xml:space="preserve">obtener al menos 7 calificaciones de evaluadores para ser publicadas en el ranking. </w:t>
      </w:r>
    </w:p>
    <w:p w14:paraId="503F5E9F" w14:textId="77777777" w:rsidR="00975906" w:rsidRPr="00917013" w:rsidRDefault="00975906" w:rsidP="001B69BB">
      <w:pPr>
        <w:pStyle w:val="ListParagraph"/>
        <w:spacing w:after="0" w:line="240" w:lineRule="auto"/>
        <w:jc w:val="both"/>
        <w:rPr>
          <w:sz w:val="24"/>
        </w:rPr>
      </w:pPr>
    </w:p>
    <w:p w14:paraId="4B6680F5" w14:textId="33705EE7" w:rsidR="00B57FD4" w:rsidRDefault="00871ADC" w:rsidP="001B69BB">
      <w:pPr>
        <w:pStyle w:val="ListParagraph"/>
        <w:spacing w:after="0" w:line="240" w:lineRule="auto"/>
        <w:jc w:val="both"/>
        <w:rPr>
          <w:sz w:val="24"/>
        </w:rPr>
      </w:pPr>
      <w:bookmarkStart w:id="1" w:name="_Hlk68535354"/>
      <w:r w:rsidRPr="00917013">
        <w:rPr>
          <w:sz w:val="24"/>
        </w:rPr>
        <w:t>E</w:t>
      </w:r>
      <w:r w:rsidR="001C766C" w:rsidRPr="00917013">
        <w:rPr>
          <w:sz w:val="24"/>
        </w:rPr>
        <w:t xml:space="preserve">l </w:t>
      </w:r>
      <w:r w:rsidR="001C766C" w:rsidRPr="00034688">
        <w:rPr>
          <w:i/>
          <w:iCs/>
          <w:sz w:val="24"/>
        </w:rPr>
        <w:t>Reforma</w:t>
      </w:r>
      <w:r w:rsidR="001C766C" w:rsidRPr="00917013">
        <w:rPr>
          <w:sz w:val="24"/>
        </w:rPr>
        <w:t xml:space="preserve"> </w:t>
      </w:r>
      <w:r w:rsidR="00975906" w:rsidRPr="00917013">
        <w:rPr>
          <w:sz w:val="24"/>
        </w:rPr>
        <w:t xml:space="preserve">aplicó encuestas </w:t>
      </w:r>
      <w:r w:rsidR="001C766C" w:rsidRPr="00917013">
        <w:rPr>
          <w:sz w:val="24"/>
        </w:rPr>
        <w:t xml:space="preserve">a </w:t>
      </w:r>
      <w:r w:rsidR="00C910A0" w:rsidRPr="00917013">
        <w:rPr>
          <w:sz w:val="24"/>
        </w:rPr>
        <w:t xml:space="preserve">1,206 empleadores </w:t>
      </w:r>
      <w:r w:rsidR="008F5BE9" w:rsidRPr="00917013">
        <w:rPr>
          <w:sz w:val="24"/>
        </w:rPr>
        <w:t xml:space="preserve">para evaluar </w:t>
      </w:r>
      <w:bookmarkEnd w:id="1"/>
      <w:r w:rsidR="008F5BE9" w:rsidRPr="00917013">
        <w:rPr>
          <w:sz w:val="24"/>
        </w:rPr>
        <w:t>a</w:t>
      </w:r>
      <w:r w:rsidR="001C3A90" w:rsidRPr="00917013">
        <w:rPr>
          <w:sz w:val="24"/>
        </w:rPr>
        <w:t xml:space="preserve"> </w:t>
      </w:r>
      <w:r w:rsidR="0012666B" w:rsidRPr="00917013">
        <w:rPr>
          <w:sz w:val="24"/>
        </w:rPr>
        <w:t xml:space="preserve">egresados de licenciatura de </w:t>
      </w:r>
      <w:r w:rsidR="008350DD" w:rsidRPr="00917013">
        <w:rPr>
          <w:sz w:val="24"/>
        </w:rPr>
        <w:t xml:space="preserve">71 </w:t>
      </w:r>
      <w:r w:rsidR="00C910A0" w:rsidRPr="00917013">
        <w:rPr>
          <w:sz w:val="24"/>
        </w:rPr>
        <w:t xml:space="preserve">universidades del </w:t>
      </w:r>
      <w:r w:rsidR="001C3A90" w:rsidRPr="00917013">
        <w:rPr>
          <w:sz w:val="24"/>
        </w:rPr>
        <w:t xml:space="preserve">Valle </w:t>
      </w:r>
      <w:r w:rsidR="00C910A0" w:rsidRPr="00917013">
        <w:rPr>
          <w:sz w:val="24"/>
        </w:rPr>
        <w:t xml:space="preserve">de México </w:t>
      </w:r>
      <w:r w:rsidR="008350DD" w:rsidRPr="00917013">
        <w:rPr>
          <w:sz w:val="24"/>
        </w:rPr>
        <w:t>y Puebla</w:t>
      </w:r>
      <w:r w:rsidR="00B57FD4" w:rsidRPr="00917013">
        <w:rPr>
          <w:sz w:val="24"/>
        </w:rPr>
        <w:t xml:space="preserve">. Dichas </w:t>
      </w:r>
      <w:r w:rsidR="009F4FD2" w:rsidRPr="00917013">
        <w:rPr>
          <w:sz w:val="24"/>
        </w:rPr>
        <w:t xml:space="preserve">encuestas </w:t>
      </w:r>
      <w:r w:rsidR="00B57FD4" w:rsidRPr="00917013">
        <w:rPr>
          <w:sz w:val="24"/>
        </w:rPr>
        <w:t xml:space="preserve">miden la </w:t>
      </w:r>
      <w:r w:rsidR="00975906" w:rsidRPr="00917013">
        <w:rPr>
          <w:sz w:val="24"/>
        </w:rPr>
        <w:t xml:space="preserve">opinión </w:t>
      </w:r>
      <w:r w:rsidR="00B57FD4" w:rsidRPr="00917013">
        <w:rPr>
          <w:sz w:val="24"/>
        </w:rPr>
        <w:t xml:space="preserve">en una escala </w:t>
      </w:r>
      <w:r w:rsidR="00B16C85" w:rsidRPr="00917013">
        <w:rPr>
          <w:sz w:val="24"/>
        </w:rPr>
        <w:t>ordinal</w:t>
      </w:r>
      <w:r w:rsidR="00B57FD4" w:rsidRPr="00917013">
        <w:rPr>
          <w:sz w:val="24"/>
        </w:rPr>
        <w:t xml:space="preserve"> de 0 al 10, en 4 rubros</w:t>
      </w:r>
      <w:r w:rsidR="008E661D">
        <w:rPr>
          <w:sz w:val="24"/>
        </w:rPr>
        <w:t>,</w:t>
      </w:r>
      <w:r w:rsidR="00B57FD4" w:rsidRPr="00917013">
        <w:rPr>
          <w:sz w:val="24"/>
        </w:rPr>
        <w:t xml:space="preserve"> para </w:t>
      </w:r>
      <w:r w:rsidR="0012666B" w:rsidRPr="00917013">
        <w:rPr>
          <w:sz w:val="24"/>
        </w:rPr>
        <w:t xml:space="preserve">valorar el desempeño de </w:t>
      </w:r>
      <w:r w:rsidR="00B57FD4" w:rsidRPr="00917013">
        <w:rPr>
          <w:sz w:val="24"/>
        </w:rPr>
        <w:t xml:space="preserve">las universidades en </w:t>
      </w:r>
      <w:r w:rsidR="00BA7D83">
        <w:rPr>
          <w:sz w:val="24"/>
        </w:rPr>
        <w:t>l</w:t>
      </w:r>
      <w:r w:rsidR="00A1245C">
        <w:rPr>
          <w:sz w:val="24"/>
        </w:rPr>
        <w:t>o</w:t>
      </w:r>
      <w:r w:rsidR="00BA7D83">
        <w:rPr>
          <w:sz w:val="24"/>
        </w:rPr>
        <w:t xml:space="preserve">s siguientes </w:t>
      </w:r>
      <w:r w:rsidR="00B57FD4" w:rsidRPr="00917013">
        <w:rPr>
          <w:sz w:val="24"/>
        </w:rPr>
        <w:t>17 programas de licenciatura:</w:t>
      </w:r>
      <w:r w:rsidR="00B57FD4" w:rsidRPr="00917013">
        <w:t xml:space="preserve"> </w:t>
      </w:r>
      <w:r w:rsidR="00B57FD4" w:rsidRPr="00917013">
        <w:rPr>
          <w:sz w:val="24"/>
        </w:rPr>
        <w:t xml:space="preserve">Administración, Arquitectura, Comunicación o </w:t>
      </w:r>
      <w:r w:rsidR="00BA7D83">
        <w:rPr>
          <w:sz w:val="24"/>
        </w:rPr>
        <w:t>P</w:t>
      </w:r>
      <w:r w:rsidR="00B57FD4" w:rsidRPr="00917013">
        <w:rPr>
          <w:sz w:val="24"/>
        </w:rPr>
        <w:t>eriodismo, Contaduría, Derecho, Diseño Gráfico, Economía, Finanzas, Gastronomía, Ingeniería en Electrónica, Ingeniería en Sistemas, Ingeniería Industrial, Ingeniería Mecatrónica, Ingeniería Química, Medicina, Mercadotecnia, y Psicología</w:t>
      </w:r>
      <w:r w:rsidR="00C1687E" w:rsidRPr="00917013">
        <w:rPr>
          <w:sz w:val="24"/>
        </w:rPr>
        <w:t>.</w:t>
      </w:r>
    </w:p>
    <w:p w14:paraId="78F59151" w14:textId="7FD4C29D" w:rsidR="008E661D" w:rsidRDefault="008E661D" w:rsidP="001B69BB">
      <w:pPr>
        <w:pStyle w:val="ListParagraph"/>
        <w:spacing w:after="0" w:line="240" w:lineRule="auto"/>
        <w:jc w:val="both"/>
        <w:rPr>
          <w:sz w:val="24"/>
        </w:rPr>
      </w:pPr>
    </w:p>
    <w:tbl>
      <w:tblPr>
        <w:tblStyle w:val="TableGrid"/>
        <w:tblW w:w="6876" w:type="dxa"/>
        <w:jc w:val="center"/>
        <w:tblLook w:val="04A0" w:firstRow="1" w:lastRow="0" w:firstColumn="1" w:lastColumn="0" w:noHBand="0" w:noVBand="1"/>
      </w:tblPr>
      <w:tblGrid>
        <w:gridCol w:w="6876"/>
      </w:tblGrid>
      <w:tr w:rsidR="009B0136" w:rsidRPr="00917013" w14:paraId="265592C0" w14:textId="77777777" w:rsidTr="00464092">
        <w:trPr>
          <w:trHeight w:val="1009"/>
          <w:jc w:val="center"/>
        </w:trPr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</w:tcPr>
          <w:p w14:paraId="7037C38B" w14:textId="126FF4FF" w:rsidR="009B0136" w:rsidRPr="00917013" w:rsidRDefault="009B0136" w:rsidP="003F1D66">
            <w:pPr>
              <w:pStyle w:val="ListParagraph"/>
              <w:ind w:left="0"/>
              <w:jc w:val="center"/>
              <w:rPr>
                <w:sz w:val="24"/>
              </w:rPr>
            </w:pPr>
            <w:r w:rsidRPr="00917013">
              <w:rPr>
                <w:noProof/>
                <w:sz w:val="24"/>
              </w:rPr>
              <w:drawing>
                <wp:inline distT="0" distB="0" distL="0" distR="0" wp14:anchorId="6C169B13" wp14:editId="3F304989">
                  <wp:extent cx="4227227" cy="669144"/>
                  <wp:effectExtent l="0" t="0" r="1905" b="0"/>
                  <wp:docPr id="7" name="Imagen 7" descr="Gráfic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Gráfico&#10;&#10;Descripción generada automáticamente con confianza baj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728" cy="736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33BBF0" w14:textId="77777777" w:rsidR="00547F69" w:rsidRPr="00917013" w:rsidRDefault="00547F69" w:rsidP="001B69BB">
      <w:pPr>
        <w:spacing w:after="0" w:line="240" w:lineRule="auto"/>
        <w:jc w:val="both"/>
        <w:rPr>
          <w:sz w:val="24"/>
        </w:rPr>
      </w:pPr>
    </w:p>
    <w:p w14:paraId="55346365" w14:textId="0125DB0D" w:rsidR="007F6379" w:rsidRDefault="00497AD1" w:rsidP="001B69BB">
      <w:pPr>
        <w:spacing w:after="0" w:line="240" w:lineRule="auto"/>
        <w:ind w:left="708"/>
        <w:jc w:val="both"/>
        <w:rPr>
          <w:sz w:val="24"/>
        </w:rPr>
      </w:pPr>
      <w:r w:rsidRPr="00917013">
        <w:rPr>
          <w:sz w:val="24"/>
        </w:rPr>
        <w:lastRenderedPageBreak/>
        <w:t xml:space="preserve">Cabe </w:t>
      </w:r>
      <w:r w:rsidR="00B57FD4" w:rsidRPr="00917013">
        <w:rPr>
          <w:sz w:val="24"/>
        </w:rPr>
        <w:t>mencionar que el ranking mide</w:t>
      </w:r>
      <w:r w:rsidR="00D54E0B" w:rsidRPr="00917013">
        <w:rPr>
          <w:sz w:val="24"/>
        </w:rPr>
        <w:t xml:space="preserve"> </w:t>
      </w:r>
      <w:r w:rsidR="00B57FD4" w:rsidRPr="00917013">
        <w:rPr>
          <w:sz w:val="24"/>
        </w:rPr>
        <w:t xml:space="preserve">los </w:t>
      </w:r>
      <w:r w:rsidR="00D54E0B" w:rsidRPr="00917013">
        <w:rPr>
          <w:sz w:val="24"/>
        </w:rPr>
        <w:t xml:space="preserve">programas </w:t>
      </w:r>
      <w:r w:rsidR="0012666B" w:rsidRPr="00917013">
        <w:rPr>
          <w:sz w:val="24"/>
        </w:rPr>
        <w:t>de licenciatura</w:t>
      </w:r>
      <w:r w:rsidR="00B57FD4" w:rsidRPr="00917013">
        <w:rPr>
          <w:sz w:val="24"/>
        </w:rPr>
        <w:t xml:space="preserve"> </w:t>
      </w:r>
      <w:r w:rsidR="0012666B" w:rsidRPr="00917013">
        <w:rPr>
          <w:sz w:val="24"/>
        </w:rPr>
        <w:t xml:space="preserve">de forma </w:t>
      </w:r>
      <w:r w:rsidR="00B57FD4" w:rsidRPr="00917013">
        <w:rPr>
          <w:sz w:val="24"/>
        </w:rPr>
        <w:t xml:space="preserve">general, sin hacer </w:t>
      </w:r>
      <w:r w:rsidR="00D54E0B" w:rsidRPr="00917013">
        <w:rPr>
          <w:sz w:val="24"/>
        </w:rPr>
        <w:t xml:space="preserve">distinción en </w:t>
      </w:r>
      <w:r w:rsidR="00B16C85" w:rsidRPr="00917013">
        <w:rPr>
          <w:sz w:val="24"/>
        </w:rPr>
        <w:t xml:space="preserve">los </w:t>
      </w:r>
      <w:r w:rsidR="00F62D7A" w:rsidRPr="00917013">
        <w:rPr>
          <w:sz w:val="24"/>
        </w:rPr>
        <w:t xml:space="preserve">programas </w:t>
      </w:r>
      <w:r w:rsidR="004C60B1" w:rsidRPr="00917013">
        <w:rPr>
          <w:sz w:val="24"/>
        </w:rPr>
        <w:t xml:space="preserve">que se </w:t>
      </w:r>
      <w:r w:rsidR="00D54E0B" w:rsidRPr="00917013">
        <w:rPr>
          <w:sz w:val="24"/>
        </w:rPr>
        <w:t xml:space="preserve">ofrecen </w:t>
      </w:r>
      <w:r w:rsidR="00F62D7A" w:rsidRPr="00917013">
        <w:rPr>
          <w:sz w:val="24"/>
        </w:rPr>
        <w:t>en una o varias unidades</w:t>
      </w:r>
      <w:r w:rsidR="007F6379" w:rsidRPr="00917013">
        <w:rPr>
          <w:sz w:val="24"/>
        </w:rPr>
        <w:t>.</w:t>
      </w:r>
      <w:r w:rsidR="004C60B1" w:rsidRPr="00917013">
        <w:rPr>
          <w:sz w:val="24"/>
        </w:rPr>
        <w:t xml:space="preserve"> Por ejemplo, </w:t>
      </w:r>
      <w:r w:rsidR="00D54E0B" w:rsidRPr="00917013">
        <w:rPr>
          <w:sz w:val="24"/>
        </w:rPr>
        <w:t xml:space="preserve">la UNAM </w:t>
      </w:r>
      <w:r w:rsidR="00B16C85" w:rsidRPr="00917013">
        <w:rPr>
          <w:sz w:val="24"/>
        </w:rPr>
        <w:t xml:space="preserve">es </w:t>
      </w:r>
      <w:r w:rsidR="00D54E0B" w:rsidRPr="00917013">
        <w:rPr>
          <w:sz w:val="24"/>
        </w:rPr>
        <w:t xml:space="preserve">clasificada en </w:t>
      </w:r>
      <w:r w:rsidR="00A00676" w:rsidRPr="00917013">
        <w:rPr>
          <w:sz w:val="24"/>
        </w:rPr>
        <w:t xml:space="preserve">Psicología </w:t>
      </w:r>
      <w:r w:rsidR="004C60B1" w:rsidRPr="00917013">
        <w:rPr>
          <w:sz w:val="24"/>
        </w:rPr>
        <w:t xml:space="preserve">en </w:t>
      </w:r>
      <w:r w:rsidR="00D54E0B" w:rsidRPr="00917013">
        <w:rPr>
          <w:sz w:val="24"/>
        </w:rPr>
        <w:t xml:space="preserve">el </w:t>
      </w:r>
      <w:r w:rsidR="00A00676" w:rsidRPr="00917013">
        <w:rPr>
          <w:sz w:val="24"/>
        </w:rPr>
        <w:t xml:space="preserve">1º </w:t>
      </w:r>
      <w:r w:rsidR="00D54E0B" w:rsidRPr="00917013">
        <w:rPr>
          <w:sz w:val="24"/>
        </w:rPr>
        <w:t xml:space="preserve">lugar </w:t>
      </w:r>
      <w:r w:rsidR="004C60B1" w:rsidRPr="00917013">
        <w:rPr>
          <w:sz w:val="24"/>
        </w:rPr>
        <w:t>con un puntaje de 9</w:t>
      </w:r>
      <w:r w:rsidR="00345F58" w:rsidRPr="00917013">
        <w:rPr>
          <w:sz w:val="24"/>
        </w:rPr>
        <w:t>.11</w:t>
      </w:r>
      <w:r w:rsidR="00D54E0B" w:rsidRPr="00917013">
        <w:rPr>
          <w:sz w:val="24"/>
        </w:rPr>
        <w:t xml:space="preserve"> sobre 10</w:t>
      </w:r>
      <w:r w:rsidR="0023201C" w:rsidRPr="00917013">
        <w:rPr>
          <w:sz w:val="24"/>
        </w:rPr>
        <w:t>.</w:t>
      </w:r>
      <w:r w:rsidR="004C60B1" w:rsidRPr="00917013">
        <w:rPr>
          <w:sz w:val="24"/>
        </w:rPr>
        <w:t xml:space="preserve"> </w:t>
      </w:r>
      <w:r w:rsidR="0023201C" w:rsidRPr="00917013">
        <w:rPr>
          <w:sz w:val="24"/>
        </w:rPr>
        <w:t>S</w:t>
      </w:r>
      <w:r w:rsidR="004C60B1" w:rsidRPr="00917013">
        <w:rPr>
          <w:sz w:val="24"/>
        </w:rPr>
        <w:t xml:space="preserve">in embargo, </w:t>
      </w:r>
      <w:r w:rsidR="00D54E0B" w:rsidRPr="00917013">
        <w:rPr>
          <w:sz w:val="24"/>
        </w:rPr>
        <w:t>no es posible precisar</w:t>
      </w:r>
      <w:r w:rsidR="00791CBE" w:rsidRPr="00917013">
        <w:rPr>
          <w:sz w:val="24"/>
        </w:rPr>
        <w:t xml:space="preserve"> </w:t>
      </w:r>
      <w:r w:rsidR="00B16C85" w:rsidRPr="00917013">
        <w:rPr>
          <w:sz w:val="24"/>
        </w:rPr>
        <w:t xml:space="preserve">a </w:t>
      </w:r>
      <w:r w:rsidR="00A00676" w:rsidRPr="00917013">
        <w:rPr>
          <w:sz w:val="24"/>
        </w:rPr>
        <w:t xml:space="preserve">cuál </w:t>
      </w:r>
      <w:r w:rsidR="008017B3" w:rsidRPr="00917013">
        <w:rPr>
          <w:sz w:val="24"/>
        </w:rPr>
        <w:t>facultad</w:t>
      </w:r>
      <w:r w:rsidR="00A00676" w:rsidRPr="00917013">
        <w:rPr>
          <w:sz w:val="24"/>
        </w:rPr>
        <w:t xml:space="preserve"> corresponden los datos: </w:t>
      </w:r>
      <w:r w:rsidR="005A47D8" w:rsidRPr="00917013">
        <w:rPr>
          <w:sz w:val="24"/>
        </w:rPr>
        <w:t>Facultad de Psicología, FES Iztacala o FES Zaragoza</w:t>
      </w:r>
      <w:r w:rsidR="004C60B1" w:rsidRPr="00917013">
        <w:rPr>
          <w:sz w:val="24"/>
        </w:rPr>
        <w:t>.</w:t>
      </w:r>
    </w:p>
    <w:p w14:paraId="268598C4" w14:textId="03E0DCBA" w:rsidR="009C57BD" w:rsidRDefault="009C57BD" w:rsidP="001B69BB">
      <w:pPr>
        <w:spacing w:after="0" w:line="240" w:lineRule="auto"/>
        <w:ind w:left="708"/>
        <w:jc w:val="both"/>
        <w:rPr>
          <w:sz w:val="24"/>
        </w:rPr>
      </w:pPr>
    </w:p>
    <w:p w14:paraId="64807DD8" w14:textId="03695358" w:rsidR="009C57BD" w:rsidRDefault="009C57BD" w:rsidP="001B69BB">
      <w:pPr>
        <w:spacing w:after="0" w:line="240" w:lineRule="auto"/>
        <w:ind w:left="708"/>
        <w:jc w:val="both"/>
        <w:rPr>
          <w:sz w:val="24"/>
        </w:rPr>
      </w:pPr>
      <w:r>
        <w:rPr>
          <w:sz w:val="24"/>
        </w:rPr>
        <w:t xml:space="preserve">A su vez, cabe resaltar que el ranking se enfoca en carreras orientadas a la industria y el sector privado, sin tomar en cuenta carreras relacionadas con las humanidades, las artes, las ciencias sociales, las ciencias básicas, el trabajo social, entre otras. </w:t>
      </w:r>
    </w:p>
    <w:p w14:paraId="676AA790" w14:textId="77777777" w:rsidR="009C57BD" w:rsidRPr="00917013" w:rsidRDefault="009C57BD" w:rsidP="001B69BB">
      <w:pPr>
        <w:spacing w:after="0" w:line="240" w:lineRule="auto"/>
        <w:ind w:left="708"/>
        <w:jc w:val="both"/>
        <w:rPr>
          <w:sz w:val="24"/>
        </w:rPr>
      </w:pPr>
    </w:p>
    <w:p w14:paraId="139A2865" w14:textId="77777777" w:rsidR="00AB5D99" w:rsidRPr="00917013" w:rsidRDefault="00AB5D99" w:rsidP="001B69BB">
      <w:pPr>
        <w:pStyle w:val="ListParagraph"/>
        <w:spacing w:after="0" w:line="240" w:lineRule="auto"/>
        <w:jc w:val="both"/>
        <w:rPr>
          <w:b/>
          <w:sz w:val="24"/>
        </w:rPr>
      </w:pPr>
      <w:r w:rsidRPr="00917013">
        <w:rPr>
          <w:b/>
          <w:sz w:val="24"/>
        </w:rPr>
        <w:t>Resultados</w:t>
      </w:r>
    </w:p>
    <w:p w14:paraId="6F5E720D" w14:textId="77777777" w:rsidR="003D76D9" w:rsidRPr="00917013" w:rsidRDefault="003D76D9" w:rsidP="00791CBE">
      <w:pPr>
        <w:pStyle w:val="ListParagraph"/>
        <w:spacing w:after="0" w:line="240" w:lineRule="auto"/>
        <w:jc w:val="both"/>
        <w:rPr>
          <w:sz w:val="24"/>
        </w:rPr>
      </w:pPr>
    </w:p>
    <w:p w14:paraId="02E1F91A" w14:textId="486D6AA9" w:rsidR="000D53D5" w:rsidRPr="00906F52" w:rsidRDefault="00AF5C64" w:rsidP="005569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917013">
        <w:rPr>
          <w:sz w:val="24"/>
        </w:rPr>
        <w:t>A continuación se presenta</w:t>
      </w:r>
      <w:r w:rsidR="004A5B5A">
        <w:rPr>
          <w:sz w:val="24"/>
        </w:rPr>
        <w:t>n</w:t>
      </w:r>
      <w:r w:rsidR="008017B3" w:rsidRPr="00917013">
        <w:rPr>
          <w:sz w:val="24"/>
        </w:rPr>
        <w:t xml:space="preserve"> </w:t>
      </w:r>
      <w:r w:rsidR="000D53D5" w:rsidRPr="00917013">
        <w:rPr>
          <w:sz w:val="24"/>
        </w:rPr>
        <w:t xml:space="preserve">la posición y </w:t>
      </w:r>
      <w:r w:rsidRPr="00917013">
        <w:rPr>
          <w:sz w:val="24"/>
        </w:rPr>
        <w:t>el puntaje obtenido</w:t>
      </w:r>
      <w:r w:rsidR="00AE30BD">
        <w:rPr>
          <w:sz w:val="24"/>
        </w:rPr>
        <w:t>s</w:t>
      </w:r>
      <w:r w:rsidRPr="00917013">
        <w:rPr>
          <w:sz w:val="24"/>
        </w:rPr>
        <w:t xml:space="preserve"> por las universidades clasificadas </w:t>
      </w:r>
      <w:r w:rsidR="000D53D5" w:rsidRPr="00917013">
        <w:rPr>
          <w:sz w:val="24"/>
        </w:rPr>
        <w:t>en cada uno de los programas de licenciatur</w:t>
      </w:r>
      <w:r w:rsidR="00906F52">
        <w:rPr>
          <w:sz w:val="24"/>
        </w:rPr>
        <w:t>a</w:t>
      </w:r>
      <w:r w:rsidR="000D53D5" w:rsidRPr="00917013">
        <w:rPr>
          <w:sz w:val="24"/>
        </w:rPr>
        <w:t xml:space="preserve">. </w:t>
      </w:r>
    </w:p>
    <w:p w14:paraId="3AC42EFF" w14:textId="63A3FDB6" w:rsidR="00906F52" w:rsidRPr="00906F52" w:rsidRDefault="00906F52" w:rsidP="00906F52">
      <w:pPr>
        <w:pStyle w:val="ListParagraph"/>
        <w:spacing w:after="0" w:line="240" w:lineRule="auto"/>
        <w:jc w:val="both"/>
        <w:rPr>
          <w:sz w:val="24"/>
        </w:rPr>
      </w:pPr>
    </w:p>
    <w:p w14:paraId="528E5482" w14:textId="4A5CE906" w:rsidR="00906F52" w:rsidRDefault="00906F52" w:rsidP="005569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Es importante remarcar que la información presentada corresponde a los programas </w:t>
      </w:r>
      <w:r w:rsidR="00FF4693">
        <w:rPr>
          <w:sz w:val="24"/>
        </w:rPr>
        <w:t xml:space="preserve">en </w:t>
      </w:r>
      <w:r w:rsidR="00B6319D">
        <w:rPr>
          <w:sz w:val="24"/>
        </w:rPr>
        <w:t xml:space="preserve">donde </w:t>
      </w:r>
      <w:r>
        <w:rPr>
          <w:sz w:val="24"/>
        </w:rPr>
        <w:t xml:space="preserve">participa la </w:t>
      </w:r>
      <w:r w:rsidRPr="00906F52">
        <w:rPr>
          <w:sz w:val="24"/>
        </w:rPr>
        <w:t>UNAM</w:t>
      </w:r>
      <w:r>
        <w:rPr>
          <w:sz w:val="24"/>
        </w:rPr>
        <w:t>.</w:t>
      </w:r>
      <w:r w:rsidR="00B271CB">
        <w:rPr>
          <w:sz w:val="24"/>
        </w:rPr>
        <w:t xml:space="preserve"> </w:t>
      </w:r>
      <w:r w:rsidR="00165A89">
        <w:rPr>
          <w:sz w:val="24"/>
        </w:rPr>
        <w:t>Además, e</w:t>
      </w:r>
      <w:r w:rsidR="00B271CB">
        <w:rPr>
          <w:sz w:val="24"/>
        </w:rPr>
        <w:t xml:space="preserve">l </w:t>
      </w:r>
      <w:r w:rsidR="00B271CB" w:rsidRPr="00B271CB">
        <w:rPr>
          <w:sz w:val="24"/>
        </w:rPr>
        <w:t xml:space="preserve">número de universidades </w:t>
      </w:r>
      <w:r w:rsidR="00B271CB">
        <w:rPr>
          <w:sz w:val="24"/>
        </w:rPr>
        <w:t xml:space="preserve">clasificadas por carrera depende del cumplimiento de </w:t>
      </w:r>
      <w:r w:rsidR="00B271CB" w:rsidRPr="00B271CB">
        <w:rPr>
          <w:sz w:val="24"/>
        </w:rPr>
        <w:t>los criterios metodológicos</w:t>
      </w:r>
      <w:r w:rsidR="00B271CB">
        <w:rPr>
          <w:sz w:val="24"/>
        </w:rPr>
        <w:t>.</w:t>
      </w:r>
    </w:p>
    <w:p w14:paraId="617F0AE8" w14:textId="77777777" w:rsidR="00AF5C64" w:rsidRPr="00906F52" w:rsidRDefault="00AF5C64" w:rsidP="00906F52">
      <w:pPr>
        <w:pStyle w:val="ListParagraph"/>
        <w:spacing w:after="0" w:line="240" w:lineRule="auto"/>
        <w:jc w:val="both"/>
        <w:rPr>
          <w:sz w:val="24"/>
        </w:rPr>
      </w:pPr>
    </w:p>
    <w:tbl>
      <w:tblPr>
        <w:tblW w:w="79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1244"/>
        <w:gridCol w:w="5790"/>
      </w:tblGrid>
      <w:tr w:rsidR="00AE3809" w:rsidRPr="00917013" w14:paraId="704EEB9A" w14:textId="77777777" w:rsidTr="00B271CB">
        <w:trPr>
          <w:trHeight w:val="490"/>
          <w:jc w:val="center"/>
        </w:trPr>
        <w:tc>
          <w:tcPr>
            <w:tcW w:w="7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298137" w14:textId="287CBFC9" w:rsidR="006D6FD4" w:rsidRPr="00917013" w:rsidRDefault="0053434F" w:rsidP="001B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s-MX"/>
              </w:rPr>
            </w:pP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Tabla 1. Posición de las universidades</w:t>
            </w:r>
            <w:r w:rsidR="00FB70B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</w:t>
            </w:r>
            <w:r w:rsidR="00EA352E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clasificadas</w:t>
            </w:r>
            <w:r w:rsidR="00FB70B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en </w:t>
            </w:r>
            <w:r w:rsidR="007A0BD1"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Psicología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en el </w:t>
            </w:r>
            <w:r w:rsidR="00A26CAF"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ranking Reforma “Las Mejores Universidades”</w:t>
            </w:r>
            <w:r w:rsidR="001E7C07"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, 20</w:t>
            </w:r>
            <w:r w:rsidR="00E71EB5"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2</w:t>
            </w:r>
            <w:r w:rsidR="00DE0B20"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1</w:t>
            </w:r>
            <w:r w:rsidR="001E7C07"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.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ab/>
            </w:r>
          </w:p>
        </w:tc>
      </w:tr>
      <w:tr w:rsidR="00AE3809" w:rsidRPr="00917013" w14:paraId="07899BA7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B15DDF" w14:textId="77777777" w:rsidR="006D6FD4" w:rsidRPr="00917013" w:rsidRDefault="006D6FD4" w:rsidP="001B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Posición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6AEF48" w14:textId="77777777" w:rsidR="006D6FD4" w:rsidRPr="00917013" w:rsidRDefault="006D6FD4" w:rsidP="001B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Puntaje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6A6AA2" w14:textId="77777777" w:rsidR="006D6FD4" w:rsidRPr="00917013" w:rsidRDefault="006D6FD4" w:rsidP="001B6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Universidad</w:t>
            </w:r>
          </w:p>
        </w:tc>
      </w:tr>
      <w:tr w:rsidR="00843460" w:rsidRPr="0094777C" w14:paraId="7FB84383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FE21" w14:textId="5B6944D9" w:rsidR="00843460" w:rsidRPr="0094777C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1520" w14:textId="708314FE" w:rsidR="00843460" w:rsidRPr="0094777C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3E00" w14:textId="6FC93E25" w:rsidR="00843460" w:rsidRPr="0094777C" w:rsidRDefault="00843460" w:rsidP="00843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Universidad Nacional Autónoma de México</w:t>
            </w:r>
          </w:p>
        </w:tc>
      </w:tr>
      <w:tr w:rsidR="00843460" w:rsidRPr="00917013" w14:paraId="594C0CBE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B02FDA9" w14:textId="1662049C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CCA2D04" w14:textId="49578F31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8.91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32DA628" w14:textId="3F1D1F52" w:rsidR="00843460" w:rsidRPr="00843460" w:rsidRDefault="00843460" w:rsidP="008434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Universidad Anáhuac</w:t>
            </w:r>
          </w:p>
        </w:tc>
      </w:tr>
      <w:tr w:rsidR="00843460" w:rsidRPr="00917013" w14:paraId="33702310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C869" w14:textId="5B47626E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59DB" w14:textId="5C980767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8.85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0E1C" w14:textId="4F60D468" w:rsidR="00843460" w:rsidRPr="00843460" w:rsidRDefault="00843460" w:rsidP="008434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y de Estudios Superiores de Monterrey</w:t>
            </w:r>
          </w:p>
        </w:tc>
      </w:tr>
      <w:tr w:rsidR="00843460" w:rsidRPr="00917013" w14:paraId="233DEF43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FFDDCF3" w14:textId="50C17964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91242B2" w14:textId="295AC27A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8.75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C95A092" w14:textId="19E3914C" w:rsidR="00843460" w:rsidRPr="00843460" w:rsidRDefault="00843460" w:rsidP="008434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Instituto Politécnico Nacional</w:t>
            </w:r>
          </w:p>
        </w:tc>
      </w:tr>
      <w:tr w:rsidR="00843460" w:rsidRPr="00917013" w14:paraId="38695BC2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983C" w14:textId="4A49D551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06CC" w14:textId="0D8973EC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8.66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8126" w14:textId="6D30E2FF" w:rsidR="00843460" w:rsidRPr="00843460" w:rsidRDefault="00843460" w:rsidP="008434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del Estado de México</w:t>
            </w:r>
          </w:p>
        </w:tc>
      </w:tr>
      <w:tr w:rsidR="00843460" w:rsidRPr="00917013" w14:paraId="5738F7C4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43F4A1F" w14:textId="07814EAB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B0B3857" w14:textId="06B3BDAE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8.63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87D3A78" w14:textId="38808198" w:rsidR="00843460" w:rsidRPr="00843460" w:rsidRDefault="00843460" w:rsidP="008434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Metropolitana</w:t>
            </w:r>
          </w:p>
        </w:tc>
      </w:tr>
      <w:tr w:rsidR="00843460" w:rsidRPr="00917013" w14:paraId="0F4390F9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13BC" w14:textId="34F885B4" w:rsidR="00843460" w:rsidRPr="00843460" w:rsidRDefault="00843460" w:rsidP="00843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E32B" w14:textId="3D2E09EE" w:rsidR="00843460" w:rsidRPr="00843460" w:rsidRDefault="00843460" w:rsidP="00843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8.63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DA96" w14:textId="2A3FCA80" w:rsidR="00843460" w:rsidRPr="00843460" w:rsidRDefault="00843460" w:rsidP="00843460">
            <w:pPr>
              <w:spacing w:after="0" w:line="240" w:lineRule="auto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Universidad de las Américas de la Ciudad de México</w:t>
            </w:r>
          </w:p>
        </w:tc>
      </w:tr>
      <w:tr w:rsidR="00843460" w:rsidRPr="00917013" w14:paraId="6D3E4FC2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F8602CE" w14:textId="6C485E93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3266232" w14:textId="2F611195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8.54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291C4F9" w14:textId="39EC556D" w:rsidR="00843460" w:rsidRPr="00843460" w:rsidRDefault="00843460" w:rsidP="008434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Universidad Pedagógica Nacional</w:t>
            </w:r>
          </w:p>
        </w:tc>
      </w:tr>
      <w:tr w:rsidR="00843460" w:rsidRPr="00917013" w14:paraId="5BD8A37D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6A30" w14:textId="3A95F756" w:rsidR="00843460" w:rsidRPr="00843460" w:rsidRDefault="00843460" w:rsidP="00843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8316" w14:textId="263E75AF" w:rsidR="00843460" w:rsidRPr="00843460" w:rsidRDefault="00843460" w:rsidP="00843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8.53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C00D" w14:textId="45359370" w:rsidR="00843460" w:rsidRPr="00843460" w:rsidRDefault="00843460" w:rsidP="00843460">
            <w:pPr>
              <w:spacing w:after="0" w:line="240" w:lineRule="auto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Universidad Iberoamericana</w:t>
            </w:r>
          </w:p>
        </w:tc>
      </w:tr>
      <w:tr w:rsidR="00843460" w:rsidRPr="00917013" w14:paraId="71CCA94F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A86B460" w14:textId="336619DD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CC273C1" w14:textId="6EFAF585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8.48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ADFABBF" w14:textId="2CA9DF09" w:rsidR="00843460" w:rsidRPr="00843460" w:rsidRDefault="00843460" w:rsidP="008434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Universidad Intercontinental</w:t>
            </w:r>
          </w:p>
        </w:tc>
      </w:tr>
      <w:tr w:rsidR="00843460" w:rsidRPr="00917013" w14:paraId="063ABF61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DA7D" w14:textId="0BDE2F85" w:rsidR="00843460" w:rsidRPr="00843460" w:rsidRDefault="00843460" w:rsidP="00843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AC59" w14:textId="65D1AD39" w:rsidR="00843460" w:rsidRPr="00843460" w:rsidRDefault="00843460" w:rsidP="00843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C259" w14:textId="37EF4E7B" w:rsidR="00843460" w:rsidRPr="00843460" w:rsidRDefault="00843460" w:rsidP="00843460">
            <w:pPr>
              <w:spacing w:after="0" w:line="240" w:lineRule="auto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Universidad La Salle</w:t>
            </w:r>
          </w:p>
        </w:tc>
      </w:tr>
      <w:tr w:rsidR="00843460" w:rsidRPr="00917013" w14:paraId="46AE7646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3881D54" w14:textId="72A2984D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7DA136E" w14:textId="5E22D4A0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8.3</w:t>
            </w:r>
            <w:r w:rsidR="0094777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4283CB9" w14:textId="09B19D3D" w:rsidR="00843460" w:rsidRPr="00843460" w:rsidRDefault="00843460" w:rsidP="008434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Universidad Mexicana</w:t>
            </w:r>
          </w:p>
        </w:tc>
      </w:tr>
      <w:tr w:rsidR="00843460" w:rsidRPr="00917013" w14:paraId="1FFF060C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A70F" w14:textId="7DE9E341" w:rsidR="00843460" w:rsidRPr="00843460" w:rsidRDefault="00843460" w:rsidP="00843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B47A" w14:textId="10C03A5D" w:rsidR="00843460" w:rsidRPr="00843460" w:rsidRDefault="00843460" w:rsidP="00843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8.24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97D8" w14:textId="398BBE1A" w:rsidR="00843460" w:rsidRPr="00843460" w:rsidRDefault="00843460" w:rsidP="00843460">
            <w:pPr>
              <w:spacing w:after="0" w:line="240" w:lineRule="auto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Universidad del Valle de México</w:t>
            </w:r>
          </w:p>
        </w:tc>
      </w:tr>
      <w:tr w:rsidR="00843460" w:rsidRPr="00917013" w14:paraId="3BA50572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CA09D39" w14:textId="4108CDC0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8BC5EB6" w14:textId="09CA2495" w:rsidR="00843460" w:rsidRPr="00843460" w:rsidRDefault="00843460" w:rsidP="0084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8.22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D8A3F22" w14:textId="2AEA15D6" w:rsidR="00843460" w:rsidRPr="00843460" w:rsidRDefault="00843460" w:rsidP="008434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Universidad Latinoamericana</w:t>
            </w:r>
          </w:p>
        </w:tc>
      </w:tr>
      <w:tr w:rsidR="00843460" w:rsidRPr="00917013" w14:paraId="47A2D3B5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D817" w14:textId="715484F0" w:rsidR="00843460" w:rsidRPr="00843460" w:rsidRDefault="00843460" w:rsidP="00843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9F7B" w14:textId="527CCEFE" w:rsidR="00843460" w:rsidRPr="00843460" w:rsidRDefault="00843460" w:rsidP="00843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8.07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0336" w14:textId="191DBE04" w:rsidR="00843460" w:rsidRPr="00843460" w:rsidRDefault="00843460" w:rsidP="00843460">
            <w:pPr>
              <w:spacing w:after="0" w:line="240" w:lineRule="auto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Universidad Tecnológica de México</w:t>
            </w:r>
          </w:p>
        </w:tc>
      </w:tr>
      <w:tr w:rsidR="00843460" w:rsidRPr="00917013" w14:paraId="56444517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F47DA99" w14:textId="250F6DD5" w:rsidR="00843460" w:rsidRPr="00843460" w:rsidRDefault="00843460" w:rsidP="00843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299F3A7" w14:textId="5BF537B4" w:rsidR="00843460" w:rsidRPr="00843460" w:rsidRDefault="00843460" w:rsidP="00843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8.02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7251FDE" w14:textId="6966DE7D" w:rsidR="00843460" w:rsidRPr="00843460" w:rsidRDefault="00843460" w:rsidP="00843460">
            <w:pPr>
              <w:spacing w:after="0" w:line="240" w:lineRule="auto"/>
              <w:rPr>
                <w:sz w:val="20"/>
                <w:szCs w:val="20"/>
              </w:rPr>
            </w:pPr>
            <w:r w:rsidRPr="00843460">
              <w:rPr>
                <w:rFonts w:ascii="Calibri" w:hAnsi="Calibri" w:cs="Calibri"/>
                <w:color w:val="000000"/>
                <w:sz w:val="20"/>
                <w:szCs w:val="20"/>
              </w:rPr>
              <w:t>Universidad de Londres</w:t>
            </w:r>
          </w:p>
        </w:tc>
      </w:tr>
      <w:tr w:rsidR="0013026D" w:rsidRPr="00917013" w14:paraId="4E8DCCFF" w14:textId="77777777" w:rsidTr="00B271CB">
        <w:trPr>
          <w:trHeight w:val="23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52AA" w14:textId="0DDC5BCE" w:rsidR="0013026D" w:rsidRPr="0013026D" w:rsidRDefault="0013026D" w:rsidP="004C4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1402" w14:textId="5B12262C" w:rsidR="0013026D" w:rsidRPr="0013026D" w:rsidRDefault="0013026D" w:rsidP="004C4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26D">
              <w:rPr>
                <w:rFonts w:ascii="Calibri" w:hAnsi="Calibri" w:cs="Calibri"/>
                <w:color w:val="000000"/>
                <w:sz w:val="20"/>
                <w:szCs w:val="20"/>
              </w:rPr>
              <w:t>7.33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58CF" w14:textId="62E54CE3" w:rsidR="0013026D" w:rsidRPr="0013026D" w:rsidRDefault="0013026D" w:rsidP="004C49B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26D">
              <w:rPr>
                <w:rFonts w:ascii="Calibri" w:hAnsi="Calibri" w:cs="Calibri"/>
                <w:color w:val="000000"/>
                <w:sz w:val="20"/>
                <w:szCs w:val="20"/>
              </w:rPr>
              <w:t>Universidad Insurgentes</w:t>
            </w:r>
          </w:p>
        </w:tc>
      </w:tr>
    </w:tbl>
    <w:p w14:paraId="5C8B61D7" w14:textId="6A35553C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tbl>
      <w:tblPr>
        <w:tblW w:w="8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256"/>
        <w:gridCol w:w="5839"/>
      </w:tblGrid>
      <w:tr w:rsidR="0094777C" w:rsidRPr="00917013" w14:paraId="7B9486F1" w14:textId="77777777" w:rsidTr="00B271CB">
        <w:trPr>
          <w:trHeight w:val="473"/>
          <w:jc w:val="center"/>
        </w:trPr>
        <w:tc>
          <w:tcPr>
            <w:tcW w:w="8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B4079B" w14:textId="3B5E4154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s-MX"/>
              </w:rPr>
            </w:pP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Tabla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2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. Posición de las universidades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clasificadas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en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Medicina en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el ranking Reforma “Las Mejores Universidades”, 2021.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ab/>
            </w:r>
          </w:p>
        </w:tc>
      </w:tr>
      <w:tr w:rsidR="0094777C" w:rsidRPr="00917013" w14:paraId="69C93493" w14:textId="77777777" w:rsidTr="00B271CB">
        <w:trPr>
          <w:trHeight w:val="23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09D041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Posición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86F519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Puntaje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75B5B9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Universidad</w:t>
            </w:r>
          </w:p>
        </w:tc>
      </w:tr>
      <w:tr w:rsidR="0094777C" w:rsidRPr="0094777C" w14:paraId="46216984" w14:textId="77777777" w:rsidTr="00B271CB">
        <w:trPr>
          <w:trHeight w:val="23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D859" w14:textId="72A57C0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AC38" w14:textId="7943D5F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AAAD" w14:textId="0EFD9306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Universidad Nacional Autónoma de México</w:t>
            </w:r>
          </w:p>
        </w:tc>
      </w:tr>
      <w:tr w:rsidR="0094777C" w:rsidRPr="00917013" w14:paraId="0855BCE3" w14:textId="77777777" w:rsidTr="00B271CB">
        <w:trPr>
          <w:trHeight w:val="23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AD9CF6A" w14:textId="30FE03E1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0F6BC8B" w14:textId="1BE79925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8.89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4AC12AF" w14:textId="1EEAE215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Panamericana</w:t>
            </w:r>
          </w:p>
        </w:tc>
      </w:tr>
      <w:tr w:rsidR="0094777C" w:rsidRPr="00917013" w14:paraId="15FD1F6C" w14:textId="77777777" w:rsidTr="00B271CB">
        <w:trPr>
          <w:trHeight w:val="23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C06F0" w14:textId="33EFF79A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010E" w14:textId="17FA9CB9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8.88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1DB8" w14:textId="045B2D84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La Salle</w:t>
            </w:r>
          </w:p>
        </w:tc>
      </w:tr>
      <w:tr w:rsidR="0094777C" w:rsidRPr="00917013" w14:paraId="3C06E41A" w14:textId="77777777" w:rsidTr="00B271CB">
        <w:trPr>
          <w:trHeight w:val="23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AAB2437" w14:textId="38EDDF4B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2990B61" w14:textId="189C1EE2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8.76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45640F6" w14:textId="38598763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Politécnico Nacional</w:t>
            </w:r>
          </w:p>
        </w:tc>
      </w:tr>
      <w:tr w:rsidR="0094777C" w:rsidRPr="00917013" w14:paraId="42EAFAFE" w14:textId="77777777" w:rsidTr="00B271CB">
        <w:trPr>
          <w:trHeight w:val="23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95E7" w14:textId="5DABBF26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C4AA" w14:textId="3A7353E5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9071" w14:textId="0C3A4C47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Anáhuac</w:t>
            </w:r>
          </w:p>
        </w:tc>
      </w:tr>
      <w:tr w:rsidR="0094777C" w:rsidRPr="00917013" w14:paraId="7317B09B" w14:textId="77777777" w:rsidTr="00B271CB">
        <w:trPr>
          <w:trHeight w:val="23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BABC81A" w14:textId="338CFD63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8286185" w14:textId="42E17E4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8.36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031D726" w14:textId="5FB6564A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Metropolitana</w:t>
            </w:r>
          </w:p>
        </w:tc>
      </w:tr>
      <w:tr w:rsidR="0094777C" w:rsidRPr="00917013" w14:paraId="19A8EC3F" w14:textId="77777777" w:rsidTr="00B271CB">
        <w:trPr>
          <w:trHeight w:val="23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2869" w14:textId="71192F52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38F6" w14:textId="6E393FD7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7.84</w:t>
            </w:r>
          </w:p>
        </w:tc>
        <w:tc>
          <w:tcPr>
            <w:tcW w:w="5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EFBC" w14:textId="25532068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Justo Sierra</w:t>
            </w:r>
          </w:p>
        </w:tc>
      </w:tr>
      <w:tr w:rsidR="0094777C" w:rsidRPr="00917013" w14:paraId="0F256A1F" w14:textId="77777777" w:rsidTr="00B271CB">
        <w:trPr>
          <w:trHeight w:val="23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07BFB6A" w14:textId="010EEEA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F68D2C6" w14:textId="34E65157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7.49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36AB16C" w14:textId="02CB33D4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Westhill</w:t>
            </w:r>
          </w:p>
        </w:tc>
      </w:tr>
    </w:tbl>
    <w:p w14:paraId="1B13E0BA" w14:textId="26ECE6B9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259"/>
        <w:gridCol w:w="5851"/>
      </w:tblGrid>
      <w:tr w:rsidR="0094777C" w:rsidRPr="00917013" w14:paraId="7C4B0C46" w14:textId="77777777" w:rsidTr="0094777C">
        <w:trPr>
          <w:trHeight w:val="460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4D4F9" w14:textId="2EB9CF61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s-MX"/>
              </w:rPr>
            </w:pP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Tabla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3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. Posición de las universidades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clasificadas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en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Derecho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en el ranking Reforma “Las Mejores Universidades”, 2021.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ab/>
            </w:r>
          </w:p>
        </w:tc>
      </w:tr>
      <w:tr w:rsidR="0094777C" w:rsidRPr="00917013" w14:paraId="2797BD39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22E5FE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Posición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DE382F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Puntaje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1E4707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Universidad</w:t>
            </w:r>
          </w:p>
        </w:tc>
      </w:tr>
      <w:tr w:rsidR="0094777C" w:rsidRPr="00917013" w14:paraId="200F9103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F9D8" w14:textId="716E227D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878B" w14:textId="292E1756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C28D" w14:textId="684216E1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Panamericana</w:t>
            </w:r>
          </w:p>
        </w:tc>
      </w:tr>
      <w:tr w:rsidR="0094777C" w:rsidRPr="0094777C" w14:paraId="57661D65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03AE840" w14:textId="4A74B15F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EEC8FA7" w14:textId="79C5581C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44FE08C" w14:textId="22D218C5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Universidad Nacional Autónoma de México</w:t>
            </w:r>
          </w:p>
        </w:tc>
      </w:tr>
      <w:tr w:rsidR="0094777C" w:rsidRPr="00917013" w14:paraId="4473B614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90EC" w14:textId="710CF4F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706C" w14:textId="75664DD5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AC09" w14:textId="1B756FFA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Autónomo de México</w:t>
            </w:r>
          </w:p>
        </w:tc>
      </w:tr>
      <w:tr w:rsidR="0094777C" w:rsidRPr="00917013" w14:paraId="0828C5E1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61CEAD1" w14:textId="0355931B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E692DB1" w14:textId="04F918A7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8.96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40AAA01" w14:textId="633367BA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Escuela Libre de Derecho</w:t>
            </w:r>
          </w:p>
        </w:tc>
      </w:tr>
      <w:tr w:rsidR="0094777C" w:rsidRPr="00917013" w14:paraId="3507003C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F03A" w14:textId="461F3917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B058" w14:textId="36DDFE2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8.78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008C" w14:textId="7D6AD223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y de Estudios Superiores de Monterrey</w:t>
            </w:r>
          </w:p>
        </w:tc>
      </w:tr>
      <w:tr w:rsidR="0094777C" w:rsidRPr="00917013" w14:paraId="6D64C34B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8A0BD8F" w14:textId="060C719E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99506E4" w14:textId="266F7944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8.77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53640E7" w14:textId="1D8BE864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del Estado de México</w:t>
            </w:r>
          </w:p>
        </w:tc>
      </w:tr>
      <w:tr w:rsidR="0094777C" w:rsidRPr="00917013" w14:paraId="7B7EF0E7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0B3B" w14:textId="1B5F1122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C15B" w14:textId="2920FFCC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8.69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A19E" w14:textId="720202A8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La Salle</w:t>
            </w:r>
          </w:p>
        </w:tc>
      </w:tr>
      <w:tr w:rsidR="0094777C" w:rsidRPr="00917013" w14:paraId="3DC2424C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FECCB33" w14:textId="522CE72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A3C31FA" w14:textId="1FACDAC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256247B" w14:textId="4550BCD5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Metropolitana</w:t>
            </w:r>
          </w:p>
        </w:tc>
      </w:tr>
      <w:tr w:rsidR="0094777C" w:rsidRPr="00917013" w14:paraId="51864B61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3F9E" w14:textId="4569235A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715B" w14:textId="6D7E03B7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8.47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8B8B" w14:textId="16618363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Iberoamericana</w:t>
            </w:r>
          </w:p>
        </w:tc>
      </w:tr>
      <w:tr w:rsidR="0094777C" w:rsidRPr="00917013" w14:paraId="72CE46E0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806BA0E" w14:textId="35FA22D7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51C818E" w14:textId="58175C95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8.33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1A2EF97" w14:textId="1347AF1A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Tecnológica de México</w:t>
            </w:r>
          </w:p>
        </w:tc>
      </w:tr>
      <w:tr w:rsidR="0094777C" w:rsidRPr="00917013" w14:paraId="2E611634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E31A" w14:textId="40152C4C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53A9" w14:textId="07512DC3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2D91" w14:textId="505556A0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Anáhuac</w:t>
            </w:r>
          </w:p>
        </w:tc>
      </w:tr>
      <w:tr w:rsidR="0094777C" w:rsidRPr="00917013" w14:paraId="6547C53C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D9D8C8D" w14:textId="74E9083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025D7E4" w14:textId="2AED5337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8.07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6D7F110" w14:textId="6D9E3D05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Justo Sierra</w:t>
            </w:r>
          </w:p>
        </w:tc>
      </w:tr>
      <w:tr w:rsidR="0094777C" w:rsidRPr="00917013" w14:paraId="2CB27171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6F88" w14:textId="6A97D310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7AFD" w14:textId="552F4A37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19CB" w14:textId="6B4CC093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Barra Nacional de Abogados</w:t>
            </w:r>
          </w:p>
        </w:tc>
      </w:tr>
      <w:tr w:rsidR="0094777C" w:rsidRPr="00917013" w14:paraId="73C334B3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4B6B6B8" w14:textId="7A84B911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08C934E" w14:textId="50BCB025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7.87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BFBBE60" w14:textId="71BE55BA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Insurgentes</w:t>
            </w:r>
          </w:p>
        </w:tc>
      </w:tr>
      <w:tr w:rsidR="0094777C" w:rsidRPr="00917013" w14:paraId="1523CB10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BBD7" w14:textId="2DEBBC0E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EC44" w14:textId="479A25C0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7.85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B947" w14:textId="7FA70738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del Valle de México</w:t>
            </w:r>
          </w:p>
        </w:tc>
      </w:tr>
    </w:tbl>
    <w:p w14:paraId="695BFF7A" w14:textId="6B8D57D9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259"/>
        <w:gridCol w:w="5851"/>
      </w:tblGrid>
      <w:tr w:rsidR="0094777C" w:rsidRPr="00917013" w14:paraId="61E51B52" w14:textId="77777777" w:rsidTr="0094777C">
        <w:trPr>
          <w:trHeight w:val="460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08C7C7" w14:textId="4CB36BC6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s-MX"/>
              </w:rPr>
            </w:pP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Tabla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4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. Posición de las universidades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clasificadas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en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Arquitectura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en el ranking Reforma “Las Mejores Universidades”, 2021.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ab/>
            </w:r>
          </w:p>
        </w:tc>
      </w:tr>
      <w:tr w:rsidR="0094777C" w:rsidRPr="00917013" w14:paraId="58FFB716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5606B6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Posición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4C3980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Puntaje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46C4FA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Universidad</w:t>
            </w:r>
          </w:p>
        </w:tc>
      </w:tr>
      <w:tr w:rsidR="0094777C" w:rsidRPr="00917013" w14:paraId="45C5CB01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A207" w14:textId="68BF5BCD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DAFC" w14:textId="1031BBFD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8.77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B35D" w14:textId="5F059DB1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Iberoamericana</w:t>
            </w:r>
          </w:p>
        </w:tc>
      </w:tr>
      <w:tr w:rsidR="0094777C" w:rsidRPr="0094777C" w14:paraId="20A4E8A6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009C57F" w14:textId="757F85C2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1EA74B4" w14:textId="2210A795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A8BCF85" w14:textId="5A6BB05F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Universidad Nacional Autónoma de México</w:t>
            </w:r>
          </w:p>
        </w:tc>
      </w:tr>
      <w:tr w:rsidR="0094777C" w:rsidRPr="00917013" w14:paraId="7BE865F3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FF25" w14:textId="705A16C2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1C4A" w14:textId="123F163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0173" w14:textId="589691AB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y de Estudios Superiores de Monterrey</w:t>
            </w:r>
          </w:p>
        </w:tc>
      </w:tr>
      <w:tr w:rsidR="0094777C" w:rsidRPr="00917013" w14:paraId="500FB038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D9C1EEE" w14:textId="235F27A3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95B497C" w14:textId="19442DF3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E1ED64B" w14:textId="1B517B0A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Metropolitana</w:t>
            </w:r>
          </w:p>
        </w:tc>
      </w:tr>
      <w:tr w:rsidR="0094777C" w:rsidRPr="00917013" w14:paraId="5C9F361D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3E4C" w14:textId="1FEA003B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96F1" w14:textId="6F17A9DA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8.43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7146" w14:textId="79DC08E7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Politécnico Nacional</w:t>
            </w:r>
          </w:p>
        </w:tc>
      </w:tr>
      <w:tr w:rsidR="0094777C" w:rsidRPr="00917013" w14:paraId="0FE6B2BB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2EBCC67" w14:textId="094E77BD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B0D6B68" w14:textId="22543DD7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8.28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CDE1C0C" w14:textId="14D53314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La Salle</w:t>
            </w:r>
          </w:p>
        </w:tc>
      </w:tr>
      <w:tr w:rsidR="0094777C" w:rsidRPr="00917013" w14:paraId="4257185B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7685" w14:textId="5215552A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83D7" w14:textId="1771105D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8.18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996F" w14:textId="678D8D09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Anáhuac</w:t>
            </w:r>
          </w:p>
        </w:tc>
      </w:tr>
      <w:tr w:rsidR="0094777C" w:rsidRPr="00917013" w14:paraId="77E1FB68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24E3D84" w14:textId="3C687686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E9ABE5B" w14:textId="0E97CDDF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7.79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18574E4" w14:textId="70C199A8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del Valle de México</w:t>
            </w:r>
          </w:p>
        </w:tc>
      </w:tr>
      <w:tr w:rsidR="0094777C" w:rsidRPr="00917013" w14:paraId="2413DFBE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C7E8" w14:textId="4E30C455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EFB6" w14:textId="3FE8C5EC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7.68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108E" w14:textId="5FFDCECA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Tecnológica de México</w:t>
            </w:r>
          </w:p>
        </w:tc>
      </w:tr>
    </w:tbl>
    <w:p w14:paraId="28700F54" w14:textId="17653267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259"/>
        <w:gridCol w:w="5851"/>
      </w:tblGrid>
      <w:tr w:rsidR="0094777C" w:rsidRPr="00917013" w14:paraId="1ADF517C" w14:textId="77777777" w:rsidTr="0094777C">
        <w:trPr>
          <w:trHeight w:val="460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9B4CD6" w14:textId="49676B58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s-MX"/>
              </w:rPr>
            </w:pP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Tabla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5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. Posición de las universidades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clasificadas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en </w:t>
            </w:r>
            <w:r w:rsidRPr="0094777C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Ing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eniería</w:t>
            </w:r>
            <w:r w:rsidRPr="0094777C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Química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en el ranking Reforma “Las Mejores Universidades”, 2021.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ab/>
            </w:r>
          </w:p>
        </w:tc>
      </w:tr>
      <w:tr w:rsidR="0094777C" w:rsidRPr="00917013" w14:paraId="4250865C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45CE2E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Posición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0373CF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Puntaje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7E8F68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Universidad</w:t>
            </w:r>
          </w:p>
        </w:tc>
      </w:tr>
      <w:tr w:rsidR="0094777C" w:rsidRPr="00917013" w14:paraId="00B41686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61BF" w14:textId="0B27C26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AC8F" w14:textId="06A5CF5C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D16D" w14:textId="000F3EE3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Iberoamericana</w:t>
            </w:r>
          </w:p>
        </w:tc>
      </w:tr>
      <w:tr w:rsidR="0094777C" w:rsidRPr="0094777C" w14:paraId="66E75C2B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7D0B094" w14:textId="63EC431C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C12E373" w14:textId="54060976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8.60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BAC9545" w14:textId="58D5B430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Universidad Nacional Autónoma de México</w:t>
            </w:r>
          </w:p>
        </w:tc>
      </w:tr>
      <w:tr w:rsidR="0094777C" w:rsidRPr="00917013" w14:paraId="3235C6A8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D13C" w14:textId="196E7FC3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CF0E" w14:textId="3F282C03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8.54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00E9" w14:textId="032D5692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Politécnico Nacional</w:t>
            </w:r>
          </w:p>
        </w:tc>
      </w:tr>
      <w:tr w:rsidR="0094777C" w:rsidRPr="00917013" w14:paraId="6E0001B5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412F6F8" w14:textId="7D5ECC9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6995D0F" w14:textId="38DBCDD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8.45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49407E6" w14:textId="6374B427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y de Estudios Superiores de Monterrey</w:t>
            </w:r>
          </w:p>
        </w:tc>
      </w:tr>
      <w:tr w:rsidR="0094777C" w:rsidRPr="00917013" w14:paraId="6D799001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6009" w14:textId="0F303076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06AD" w14:textId="46BFCEBF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8.31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C050" w14:textId="476B51D9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Metropolitana</w:t>
            </w:r>
          </w:p>
        </w:tc>
      </w:tr>
      <w:tr w:rsidR="0094777C" w:rsidRPr="00917013" w14:paraId="5F71BFFE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B96797C" w14:textId="7B2FD136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6BF8575" w14:textId="0ACC2076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C6F9345" w14:textId="09680ED5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La Salle</w:t>
            </w:r>
          </w:p>
        </w:tc>
      </w:tr>
      <w:tr w:rsidR="0094777C" w:rsidRPr="00917013" w14:paraId="51EA61FF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4BEA" w14:textId="780DC509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2546" w14:textId="434CEB4C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7.87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E365" w14:textId="78EB945A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Tecnológica de México</w:t>
            </w:r>
          </w:p>
        </w:tc>
      </w:tr>
      <w:tr w:rsidR="0094777C" w:rsidRPr="00917013" w14:paraId="3B337C62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7BE5858" w14:textId="00A7476C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C4FE03D" w14:textId="2C6B9E2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7.82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F5A6DCF" w14:textId="379E0BB1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Tecnológico de Estudios Superiores de Ecatepec</w:t>
            </w:r>
          </w:p>
        </w:tc>
      </w:tr>
    </w:tbl>
    <w:p w14:paraId="204B44CE" w14:textId="3E613B66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330805D" w14:textId="66B92E20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692B6042" w14:textId="77777777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259"/>
        <w:gridCol w:w="5851"/>
      </w:tblGrid>
      <w:tr w:rsidR="0094777C" w:rsidRPr="00917013" w14:paraId="45635741" w14:textId="77777777" w:rsidTr="0094777C">
        <w:trPr>
          <w:trHeight w:val="460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C2988D" w14:textId="6AA0F65F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s-MX"/>
              </w:rPr>
            </w:pP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Tabla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6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. Posición de las universidades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clasificadas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en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Contaduría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en el ranking Reforma “Las Mejores Universidades”, 2021.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ab/>
            </w:r>
          </w:p>
        </w:tc>
      </w:tr>
      <w:tr w:rsidR="0094777C" w:rsidRPr="00917013" w14:paraId="21EB6665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17202C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Posición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39FD5F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Puntaje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B9E0A2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Universidad</w:t>
            </w:r>
          </w:p>
        </w:tc>
      </w:tr>
      <w:tr w:rsidR="0094777C" w:rsidRPr="00917013" w14:paraId="02784BB0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E55D" w14:textId="05B06849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153A" w14:textId="5B9D76EF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9.37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0FE3" w14:textId="42E8946D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Autónomo de México</w:t>
            </w:r>
          </w:p>
        </w:tc>
      </w:tr>
      <w:tr w:rsidR="0094777C" w:rsidRPr="00917013" w14:paraId="40587100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BFC58B5" w14:textId="6F92FF1F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AE3F351" w14:textId="75524D2E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9.17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5FA59EC" w14:textId="7167E6E7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y de Estudios Superiores de Monterrey</w:t>
            </w:r>
          </w:p>
        </w:tc>
      </w:tr>
      <w:tr w:rsidR="0094777C" w:rsidRPr="00917013" w14:paraId="65D89FEB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E4AB" w14:textId="3A121C3C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3B86" w14:textId="63D20E6C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9.17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87DA" w14:textId="0C804344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Iberoamericana</w:t>
            </w:r>
          </w:p>
        </w:tc>
      </w:tr>
      <w:tr w:rsidR="0094777C" w:rsidRPr="0094777C" w14:paraId="42E7DF46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27BDF86" w14:textId="2FA14F1C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53AF9C3" w14:textId="5A64C2FB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8.97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28C7EC3" w14:textId="669900E8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Universidad Nacional Autónoma de México</w:t>
            </w:r>
          </w:p>
        </w:tc>
      </w:tr>
      <w:tr w:rsidR="0094777C" w:rsidRPr="00917013" w14:paraId="0BD43F3B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5180" w14:textId="16C4A97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89E0" w14:textId="624EF9A5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F8D8" w14:textId="7E9B0BB3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Panamericana</w:t>
            </w:r>
          </w:p>
        </w:tc>
      </w:tr>
      <w:tr w:rsidR="0094777C" w:rsidRPr="00917013" w14:paraId="215D5F20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88A615B" w14:textId="1D1CD8D3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FC5DAFB" w14:textId="76B6E7CC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8.84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46E952C" w14:textId="61E77272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Politécnico Nacional</w:t>
            </w:r>
          </w:p>
        </w:tc>
      </w:tr>
      <w:tr w:rsidR="0094777C" w:rsidRPr="00917013" w14:paraId="3227955B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1390" w14:textId="071E6AA4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32FD" w14:textId="666C42E3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C5D1" w14:textId="20DC948C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Escuela Bancaria y Comercial</w:t>
            </w:r>
          </w:p>
        </w:tc>
      </w:tr>
      <w:tr w:rsidR="0094777C" w:rsidRPr="00917013" w14:paraId="4BBDC29F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39980E7" w14:textId="493B70E9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2F2E447" w14:textId="0867816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8.62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B2C40C6" w14:textId="05DAF47B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del Estado de México</w:t>
            </w:r>
          </w:p>
        </w:tc>
      </w:tr>
      <w:tr w:rsidR="0094777C" w:rsidRPr="00917013" w14:paraId="4D91B208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2DAB" w14:textId="3BE1B36E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E624" w14:textId="5CAD44E5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8.52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D7EE" w14:textId="7E38FF65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Tecnológica de México</w:t>
            </w:r>
          </w:p>
        </w:tc>
      </w:tr>
      <w:tr w:rsidR="0094777C" w:rsidRPr="00917013" w14:paraId="4C81A9CF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967BE50" w14:textId="6BAACFB5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BFCE1FF" w14:textId="12EF4313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8.46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F76D2CC" w14:textId="7FECEE2A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del Valle de México</w:t>
            </w:r>
          </w:p>
        </w:tc>
      </w:tr>
      <w:tr w:rsidR="0094777C" w:rsidRPr="00917013" w14:paraId="1486554F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51E7" w14:textId="3F79BF4A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CD61" w14:textId="3CAC4171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8.36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E07F" w14:textId="3757516F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Leonardo Bravo</w:t>
            </w:r>
          </w:p>
        </w:tc>
      </w:tr>
      <w:tr w:rsidR="0094777C" w:rsidRPr="00917013" w14:paraId="44212AAB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0838435" w14:textId="2BDBF0CF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07383D3" w14:textId="2FB1F4BD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8.27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A9513AF" w14:textId="5906D1B2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Insurgentes</w:t>
            </w:r>
          </w:p>
        </w:tc>
      </w:tr>
    </w:tbl>
    <w:p w14:paraId="2685CAD2" w14:textId="11F7E53C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259"/>
        <w:gridCol w:w="5851"/>
      </w:tblGrid>
      <w:tr w:rsidR="0094777C" w:rsidRPr="00917013" w14:paraId="63117FBE" w14:textId="77777777" w:rsidTr="0094777C">
        <w:trPr>
          <w:trHeight w:val="460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C71F89" w14:textId="0B4FF53D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s-MX"/>
              </w:rPr>
            </w:pP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Tabla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7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. Posición de las universidades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clasificadas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en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Comunicación o Periodismo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en el ranking Reforma “Las Mejores Universidades”, 2021.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ab/>
            </w:r>
          </w:p>
        </w:tc>
      </w:tr>
      <w:tr w:rsidR="0094777C" w:rsidRPr="00917013" w14:paraId="5F588C82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5E85F9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Posición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467528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Puntaje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092EE3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Universidad</w:t>
            </w:r>
          </w:p>
        </w:tc>
      </w:tr>
      <w:tr w:rsidR="0094777C" w:rsidRPr="00917013" w14:paraId="6AB94600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5375" w14:textId="01C4A0E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8F7C" w14:textId="6F5D8F96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7C08" w14:textId="735A6D3F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Iberoamericana</w:t>
            </w:r>
          </w:p>
        </w:tc>
      </w:tr>
      <w:tr w:rsidR="0094777C" w:rsidRPr="00917013" w14:paraId="408ECEB5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0BF5B05" w14:textId="6F1DEF1D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813B3AC" w14:textId="6A6B14A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9.04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6E093B2" w14:textId="29046B3E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Panamericana</w:t>
            </w:r>
          </w:p>
        </w:tc>
      </w:tr>
      <w:tr w:rsidR="0094777C" w:rsidRPr="0094777C" w14:paraId="3AF9575C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D4B0" w14:textId="2992E6D1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4319" w14:textId="03ADA9BC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8.92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E3C8" w14:textId="3855418D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Universidad Nacional Autónoma de México</w:t>
            </w:r>
          </w:p>
        </w:tc>
      </w:tr>
      <w:tr w:rsidR="0094777C" w:rsidRPr="00917013" w14:paraId="34070BA6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A9926E3" w14:textId="39C0972A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0758A5D" w14:textId="2C73F10A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8.83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849D898" w14:textId="76F2CABF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y de Estudios Superiores de Monterrey</w:t>
            </w:r>
          </w:p>
        </w:tc>
      </w:tr>
      <w:tr w:rsidR="0094777C" w:rsidRPr="00917013" w14:paraId="641E35E4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9D46" w14:textId="5B58F17A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4239" w14:textId="7E34CB54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8.76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5C98" w14:textId="4A6958F1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Escuela de Periodismo Carlos Septién García</w:t>
            </w:r>
          </w:p>
        </w:tc>
      </w:tr>
      <w:tr w:rsidR="0094777C" w:rsidRPr="00917013" w14:paraId="21EE40DD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60663A3" w14:textId="4685E01B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E294F0F" w14:textId="18F33B63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1CAF38D" w14:textId="4639F4B2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Metropolitana</w:t>
            </w:r>
          </w:p>
        </w:tc>
      </w:tr>
      <w:tr w:rsidR="0094777C" w:rsidRPr="00917013" w14:paraId="105F37DC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338E" w14:textId="386D1F31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9D30" w14:textId="4D525C10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8.66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02AC" w14:textId="6BA2B3AB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La Salle</w:t>
            </w:r>
          </w:p>
        </w:tc>
      </w:tr>
      <w:tr w:rsidR="0094777C" w:rsidRPr="00917013" w14:paraId="2E6173B9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FEEAF51" w14:textId="5BD3898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2C87955" w14:textId="5D4EE05F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FE3B9F4" w14:textId="3602736E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Tecnológica de México</w:t>
            </w:r>
          </w:p>
        </w:tc>
      </w:tr>
      <w:tr w:rsidR="0094777C" w:rsidRPr="00917013" w14:paraId="5B298F7E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4EE1" w14:textId="1713116A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034D" w14:textId="518FC9CD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8.62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77AAA" w14:textId="143DA374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Anáhuac</w:t>
            </w:r>
          </w:p>
        </w:tc>
      </w:tr>
      <w:tr w:rsidR="0094777C" w:rsidRPr="00917013" w14:paraId="033CE1C2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472B667" w14:textId="1BB454C9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FCC8142" w14:textId="70256CF9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8.43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38793C7" w14:textId="66D27102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Latinoamericana</w:t>
            </w:r>
          </w:p>
        </w:tc>
      </w:tr>
      <w:tr w:rsidR="0094777C" w:rsidRPr="00917013" w14:paraId="708BAB95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8640" w14:textId="324650F0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16A1" w14:textId="4E9BE0A7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8.23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CCA4" w14:textId="4D063BDC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del Valle de México</w:t>
            </w:r>
          </w:p>
        </w:tc>
      </w:tr>
      <w:tr w:rsidR="0094777C" w:rsidRPr="00917013" w14:paraId="517BE668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94264A5" w14:textId="033354EC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31BEEF9" w14:textId="634D87B9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1ABA8EA" w14:textId="305CA192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 Intercontinental</w:t>
            </w:r>
          </w:p>
        </w:tc>
      </w:tr>
    </w:tbl>
    <w:p w14:paraId="6E21E7D1" w14:textId="7A7A5F8F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259"/>
        <w:gridCol w:w="5851"/>
      </w:tblGrid>
      <w:tr w:rsidR="0094777C" w:rsidRPr="00917013" w14:paraId="4CC59263" w14:textId="77777777" w:rsidTr="0094777C">
        <w:trPr>
          <w:trHeight w:val="460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DB0E6E" w14:textId="5EC4B15C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s-MX"/>
              </w:rPr>
            </w:pP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Tabla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8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. Posición de las universidades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clasificadas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en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Diseño Gráfico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en el ranking Reforma “Las Mejores Universidades”, 2021.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ab/>
            </w:r>
          </w:p>
        </w:tc>
      </w:tr>
      <w:tr w:rsidR="0094777C" w:rsidRPr="00917013" w14:paraId="302AAF80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8DC6B1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Posición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0C4F44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Puntaje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49AAD0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Universidad</w:t>
            </w:r>
          </w:p>
        </w:tc>
      </w:tr>
      <w:tr w:rsidR="0094777C" w:rsidRPr="00917013" w14:paraId="2F74EBD2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9558" w14:textId="50FF6411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34A0" w14:textId="70AEB631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8.88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A814" w14:textId="799063B8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Iberoamericana</w:t>
            </w:r>
          </w:p>
        </w:tc>
      </w:tr>
      <w:tr w:rsidR="0094777C" w:rsidRPr="00917013" w14:paraId="520A4095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387A7FD" w14:textId="334E75AB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644606F" w14:textId="6404E34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8.85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8348620" w14:textId="2A9029E8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La Salle</w:t>
            </w:r>
          </w:p>
        </w:tc>
      </w:tr>
      <w:tr w:rsidR="0094777C" w:rsidRPr="0094777C" w14:paraId="0E6632D0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6E7D" w14:textId="77A48092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B3DC" w14:textId="7CE55254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8.84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E1E8" w14:textId="049452EF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Universidad Nacional Autónoma de México</w:t>
            </w:r>
          </w:p>
        </w:tc>
      </w:tr>
      <w:tr w:rsidR="0094777C" w:rsidRPr="00917013" w14:paraId="7DE9A67A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1B80B84" w14:textId="493E5C63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C9E720A" w14:textId="786B1954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8.83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589AE1F" w14:textId="3FB7A3C7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Anáhuac</w:t>
            </w:r>
          </w:p>
        </w:tc>
      </w:tr>
      <w:tr w:rsidR="0094777C" w:rsidRPr="00917013" w14:paraId="23F042DE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49554" w14:textId="0312D14E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667F" w14:textId="03F43FCF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8.83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EBB4" w14:textId="4C408A98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Metropolitana</w:t>
            </w:r>
          </w:p>
        </w:tc>
      </w:tr>
      <w:tr w:rsidR="0094777C" w:rsidRPr="00917013" w14:paraId="47FDD1C8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341F665" w14:textId="6311C1FF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4965FED" w14:textId="3B4C4DEC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7EADBC4" w14:textId="79561AFE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Nacional de Bellas Artes y Literatura</w:t>
            </w:r>
          </w:p>
        </w:tc>
      </w:tr>
      <w:tr w:rsidR="0094777C" w:rsidRPr="00917013" w14:paraId="6E914A84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CEDA" w14:textId="77566E51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824C" w14:textId="504E49A6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7641" w14:textId="42238BE4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de Cuautitlán Izcalli</w:t>
            </w:r>
          </w:p>
        </w:tc>
      </w:tr>
      <w:tr w:rsidR="0094777C" w:rsidRPr="00917013" w14:paraId="4C1B39DB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6E49EEA" w14:textId="68BA8517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BB165AE" w14:textId="5690A656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8.46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F96828C" w14:textId="064A0910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Tecnológica de México</w:t>
            </w:r>
          </w:p>
        </w:tc>
      </w:tr>
      <w:tr w:rsidR="0094777C" w:rsidRPr="00917013" w14:paraId="0A663895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7048" w14:textId="614A59CA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5F50" w14:textId="7C639650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8.45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3BC8" w14:textId="138A658A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 Intercontinental</w:t>
            </w:r>
          </w:p>
        </w:tc>
      </w:tr>
      <w:tr w:rsidR="0094777C" w:rsidRPr="00917013" w14:paraId="04C5C37A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E956634" w14:textId="3F6616F4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47E839A" w14:textId="4A8B74D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48B72F3" w14:textId="630E5304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del Valle de México</w:t>
            </w:r>
          </w:p>
        </w:tc>
      </w:tr>
      <w:tr w:rsidR="0094777C" w:rsidRPr="00917013" w14:paraId="12954B5B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C1B7" w14:textId="3793A469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4B44" w14:textId="2E215889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5BF9" w14:textId="2DB8E800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Centro de Diseño, Cine y Televisión</w:t>
            </w:r>
          </w:p>
        </w:tc>
      </w:tr>
      <w:tr w:rsidR="0094777C" w:rsidRPr="00917013" w14:paraId="032069AD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478AB1E" w14:textId="29A92271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4495533" w14:textId="589B05BE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7.91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C563AF4" w14:textId="4E3828CF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Insurgentes</w:t>
            </w:r>
          </w:p>
        </w:tc>
      </w:tr>
    </w:tbl>
    <w:p w14:paraId="43B0F606" w14:textId="4018ADA0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0DC9B150" w14:textId="77777777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259"/>
        <w:gridCol w:w="5851"/>
      </w:tblGrid>
      <w:tr w:rsidR="0094777C" w:rsidRPr="00917013" w14:paraId="106EE84B" w14:textId="77777777" w:rsidTr="0094777C">
        <w:trPr>
          <w:trHeight w:val="460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08B0AE" w14:textId="2B69613D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s-MX"/>
              </w:rPr>
            </w:pP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Tabla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9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. Posición de las universidades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clasificadas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en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Ingeniería en Sistemas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en el ranking Reforma “Las Mejores Universidades”, 2021.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ab/>
            </w:r>
          </w:p>
        </w:tc>
      </w:tr>
      <w:tr w:rsidR="0094777C" w:rsidRPr="00917013" w14:paraId="682532A9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D23A00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Posición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07C0AE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Puntaje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77B346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Universidad</w:t>
            </w:r>
          </w:p>
        </w:tc>
      </w:tr>
      <w:tr w:rsidR="0094777C" w:rsidRPr="00917013" w14:paraId="694FB08B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5A01" w14:textId="15BF3F2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D126" w14:textId="64E6951E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7128" w14:textId="7CF38F33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y de Estudios Superiores de Monterrey</w:t>
            </w:r>
          </w:p>
        </w:tc>
      </w:tr>
      <w:tr w:rsidR="0094777C" w:rsidRPr="00917013" w14:paraId="2A5BF863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134BA5C" w14:textId="26C9A43F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EDE3602" w14:textId="20AEBD29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8.91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DCADBB8" w14:textId="6A9B912E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Autónomo de México</w:t>
            </w:r>
          </w:p>
        </w:tc>
      </w:tr>
      <w:tr w:rsidR="0094777C" w:rsidRPr="00917013" w14:paraId="496B2D55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BFF0" w14:textId="6D1D6FE5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2916" w14:textId="1D5A8A65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8.81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1519" w14:textId="357C153E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Politécnico Nacional</w:t>
            </w:r>
          </w:p>
        </w:tc>
      </w:tr>
      <w:tr w:rsidR="0094777C" w:rsidRPr="00917013" w14:paraId="2F1F3661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FB6FA22" w14:textId="7447A91D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9A6C58B" w14:textId="7C2FA336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8.75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DF51B25" w14:textId="4A953B30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Anáhuac</w:t>
            </w:r>
          </w:p>
        </w:tc>
      </w:tr>
      <w:tr w:rsidR="0094777C" w:rsidRPr="0094777C" w14:paraId="4D6E83CF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FC35" w14:textId="5A0C81EB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5658" w14:textId="2CE0FA46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8.75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46AE" w14:textId="4DEE2A78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Universidad Nacional Autónoma de México</w:t>
            </w:r>
          </w:p>
        </w:tc>
      </w:tr>
      <w:tr w:rsidR="0094777C" w:rsidRPr="00917013" w14:paraId="7744D83F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3C38D1E" w14:textId="44E00BAB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0098779" w14:textId="450FF147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89F030D" w14:textId="60B5F531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La Salle</w:t>
            </w:r>
          </w:p>
        </w:tc>
      </w:tr>
      <w:tr w:rsidR="0094777C" w:rsidRPr="00917013" w14:paraId="7688686E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D084" w14:textId="3F8C38EF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1385" w14:textId="01710464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8.54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BEAA" w14:textId="67C22274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Metropolitana</w:t>
            </w:r>
          </w:p>
        </w:tc>
      </w:tr>
      <w:tr w:rsidR="0094777C" w:rsidRPr="00917013" w14:paraId="39B896AB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A1B3AA5" w14:textId="1DB0A9D7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1A5C15B" w14:textId="1D70590D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8.34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EF78BBD" w14:textId="7A15072F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Tecnológica de México</w:t>
            </w:r>
          </w:p>
        </w:tc>
      </w:tr>
      <w:tr w:rsidR="0094777C" w:rsidRPr="00917013" w14:paraId="0A71D17E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031F" w14:textId="13C19083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B6C5" w14:textId="03D19D94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8.33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7CCF" w14:textId="1B96DBC8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del Valle de México</w:t>
            </w:r>
          </w:p>
        </w:tc>
      </w:tr>
      <w:tr w:rsidR="0094777C" w:rsidRPr="00917013" w14:paraId="2F8E7248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B7E7C68" w14:textId="057A5729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E778401" w14:textId="416E68A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8.31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A0FE9F0" w14:textId="43B1C7AD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Tecnológico de Estudios Superiores de Ecatepec</w:t>
            </w:r>
          </w:p>
        </w:tc>
      </w:tr>
      <w:tr w:rsidR="0094777C" w:rsidRPr="00917013" w14:paraId="66156AF7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02AF" w14:textId="16461F1A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B4D7" w14:textId="0FA80218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579A" w14:textId="4B736A7D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del Estado de México</w:t>
            </w:r>
          </w:p>
        </w:tc>
      </w:tr>
      <w:tr w:rsidR="0094777C" w:rsidRPr="00917013" w14:paraId="24434187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EB56328" w14:textId="25C92856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FA9D37D" w14:textId="311D267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1235A12" w14:textId="46585D32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Tecnológico de Estudios Superiores de Coacalco</w:t>
            </w:r>
          </w:p>
        </w:tc>
      </w:tr>
      <w:tr w:rsidR="0094777C" w:rsidRPr="00917013" w14:paraId="74569889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9B7B" w14:textId="46FC1E15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8370" w14:textId="511ADA14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7.97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6404" w14:textId="0E2D11ED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ICEL</w:t>
            </w:r>
          </w:p>
        </w:tc>
      </w:tr>
      <w:tr w:rsidR="0094777C" w:rsidRPr="00917013" w14:paraId="50BC0D75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926AA9E" w14:textId="721570B6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B6C4A24" w14:textId="3B650944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464F948" w14:textId="651D0D94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Tecnológico de Estudios Cuautitlán Izcalli</w:t>
            </w:r>
          </w:p>
        </w:tc>
      </w:tr>
    </w:tbl>
    <w:p w14:paraId="6DB8079B" w14:textId="566AC758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259"/>
        <w:gridCol w:w="5851"/>
      </w:tblGrid>
      <w:tr w:rsidR="0094777C" w:rsidRPr="00917013" w14:paraId="69488EDA" w14:textId="77777777" w:rsidTr="0094777C">
        <w:trPr>
          <w:trHeight w:val="460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0EC280" w14:textId="24167C0F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s-MX"/>
              </w:rPr>
            </w:pP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Tabla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10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. Posición de las universidades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clasificadas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en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Ingeniería en Electrónica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en el ranking Reforma “Las Mejores Universidades”, 2021.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ab/>
            </w:r>
          </w:p>
        </w:tc>
      </w:tr>
      <w:tr w:rsidR="0094777C" w:rsidRPr="00917013" w14:paraId="38DCD7C1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9D1FD5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Posición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DAF1AA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Puntaje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75E4F2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Universidad</w:t>
            </w:r>
          </w:p>
        </w:tc>
      </w:tr>
      <w:tr w:rsidR="0094777C" w:rsidRPr="00917013" w14:paraId="26966739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D7AA" w14:textId="0A900ACB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5259" w14:textId="52FABDA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8.94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0602" w14:textId="78497F95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La Salle</w:t>
            </w:r>
          </w:p>
        </w:tc>
      </w:tr>
      <w:tr w:rsidR="0094777C" w:rsidRPr="00917013" w14:paraId="022CEAB4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302D025" w14:textId="36B07CE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DF7FE7F" w14:textId="2BB3800F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DEB2D12" w14:textId="20447B65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Politécnico Nacional</w:t>
            </w:r>
          </w:p>
        </w:tc>
      </w:tr>
      <w:tr w:rsidR="0094777C" w:rsidRPr="00917013" w14:paraId="45F3CD63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A2BB" w14:textId="7E3E9127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A146" w14:textId="41537F9A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8.54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D3E4" w14:textId="3B53094B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y de Estudios Superiores de Monterrey</w:t>
            </w:r>
          </w:p>
        </w:tc>
      </w:tr>
      <w:tr w:rsidR="0094777C" w:rsidRPr="0094777C" w14:paraId="433C26A1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51B16AC" w14:textId="7B984D9F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B4197CD" w14:textId="1CE6C2A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8.41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E699313" w14:textId="5BC54353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Universidad Nacional Autónoma de México</w:t>
            </w:r>
          </w:p>
        </w:tc>
      </w:tr>
      <w:tr w:rsidR="0094777C" w:rsidRPr="00917013" w14:paraId="0D945828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C973" w14:textId="39B4A0C4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2E40" w14:textId="61886255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8.24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0F42" w14:textId="48313CA2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Metropolitana</w:t>
            </w:r>
          </w:p>
        </w:tc>
      </w:tr>
      <w:tr w:rsidR="0094777C" w:rsidRPr="00917013" w14:paraId="04562C48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F06BB3E" w14:textId="23EFDFF4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04A02A8" w14:textId="446F69F5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254A54D" w14:textId="0140BF70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Tecnológico de Estudios Superiores de Ecatepec</w:t>
            </w:r>
          </w:p>
        </w:tc>
      </w:tr>
      <w:tr w:rsidR="0094777C" w:rsidRPr="00917013" w14:paraId="17B21501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6733" w14:textId="2BFCE097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0455" w14:textId="1F40BD7A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8.08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0254" w14:textId="11B1AE47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Tecnológica de México</w:t>
            </w:r>
          </w:p>
        </w:tc>
      </w:tr>
      <w:tr w:rsidR="0094777C" w:rsidRPr="00917013" w14:paraId="47A3BBD4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5DC7B97" w14:textId="6877976B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67E1A7D" w14:textId="76A57895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ECADD96" w14:textId="3CBE7533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Iberoamericana</w:t>
            </w:r>
          </w:p>
        </w:tc>
      </w:tr>
      <w:tr w:rsidR="0094777C" w:rsidRPr="00917013" w14:paraId="4EA9BB6B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8310" w14:textId="71A2E97C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EEDB" w14:textId="11E43096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7.83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0CB7" w14:textId="7A28ABC0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Tecnológico de Estudios Cuautitlán Izcalli</w:t>
            </w:r>
          </w:p>
        </w:tc>
      </w:tr>
    </w:tbl>
    <w:p w14:paraId="596E5063" w14:textId="65073C32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259"/>
        <w:gridCol w:w="5851"/>
      </w:tblGrid>
      <w:tr w:rsidR="0094777C" w:rsidRPr="00917013" w14:paraId="203EC67B" w14:textId="77777777" w:rsidTr="0094777C">
        <w:trPr>
          <w:trHeight w:val="460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2478E5" w14:textId="3FAE4B7F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s-MX"/>
              </w:rPr>
            </w:pP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Tabla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11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. Posición de las universidades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clasificadas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en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Administración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en el ranking Reforma “Las Mejores Universidades”, 2021.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ab/>
            </w:r>
          </w:p>
        </w:tc>
      </w:tr>
      <w:tr w:rsidR="0094777C" w:rsidRPr="00917013" w14:paraId="09F0735B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5115A2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Posición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B79D1F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Puntaje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13B416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Universidad</w:t>
            </w:r>
          </w:p>
        </w:tc>
      </w:tr>
      <w:tr w:rsidR="0094777C" w:rsidRPr="00917013" w14:paraId="5DCD25E4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28D9" w14:textId="2B674C77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EEE9" w14:textId="34ED2C33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8.97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57EF" w14:textId="09C5787F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Autónomo de México</w:t>
            </w:r>
          </w:p>
        </w:tc>
      </w:tr>
      <w:tr w:rsidR="0094777C" w:rsidRPr="00917013" w14:paraId="4BCCE008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2339344" w14:textId="77AC5D0D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FA55FB6" w14:textId="2A7AAF6A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8.95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65591F2" w14:textId="3FA83A5E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Panamericana</w:t>
            </w:r>
          </w:p>
        </w:tc>
      </w:tr>
      <w:tr w:rsidR="0094777C" w:rsidRPr="00917013" w14:paraId="1674BA57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B7B23" w14:textId="33D3FF37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943A" w14:textId="66F2BD5D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8.93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5CD9" w14:textId="09579791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y de Estudios Superiores de Monterrey</w:t>
            </w:r>
          </w:p>
        </w:tc>
      </w:tr>
      <w:tr w:rsidR="0094777C" w:rsidRPr="00917013" w14:paraId="19C192AE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71D565A" w14:textId="005E560B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B867DC1" w14:textId="2556D29E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19344C1" w14:textId="2A45ECB1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Iberoamericana</w:t>
            </w:r>
          </w:p>
        </w:tc>
      </w:tr>
      <w:tr w:rsidR="0094777C" w:rsidRPr="0094777C" w14:paraId="232FAAAC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ECA3" w14:textId="5796129F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F15F" w14:textId="3355532D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8.71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A048" w14:textId="6B64B106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Universidad Nacional Autónoma de México</w:t>
            </w:r>
          </w:p>
        </w:tc>
      </w:tr>
      <w:tr w:rsidR="0094777C" w:rsidRPr="00917013" w14:paraId="39357008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6B34B05" w14:textId="10E81E8E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751E40B" w14:textId="0244D2C7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BA6631E" w14:textId="09BE2117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Anáhuac</w:t>
            </w:r>
          </w:p>
        </w:tc>
      </w:tr>
      <w:tr w:rsidR="0094777C" w:rsidRPr="00917013" w14:paraId="0572AB85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BFBE" w14:textId="5E081E09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B7E2" w14:textId="78751F53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8.55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4D78" w14:textId="403FAE1C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Metropolitana</w:t>
            </w:r>
          </w:p>
        </w:tc>
      </w:tr>
      <w:tr w:rsidR="0094777C" w:rsidRPr="00917013" w14:paraId="20B5765F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B2AC644" w14:textId="660744DB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304D3FA" w14:textId="6F71F805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B44FD47" w14:textId="7AF45012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de Londres</w:t>
            </w:r>
          </w:p>
        </w:tc>
      </w:tr>
      <w:tr w:rsidR="0094777C" w:rsidRPr="00917013" w14:paraId="193542A6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CB70" w14:textId="09B0C55E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78FB" w14:textId="5D906051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8.48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013D" w14:textId="06CBF3F9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Tecnológica de México</w:t>
            </w:r>
          </w:p>
        </w:tc>
      </w:tr>
      <w:tr w:rsidR="0094777C" w:rsidRPr="00917013" w14:paraId="224F2EC7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B4AAAB4" w14:textId="595B443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A839168" w14:textId="1D53D023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8.46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46E30B3" w14:textId="33649B5E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La Salle</w:t>
            </w:r>
          </w:p>
        </w:tc>
      </w:tr>
      <w:tr w:rsidR="0094777C" w:rsidRPr="00917013" w14:paraId="02714323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4369" w14:textId="35A93805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F90D" w14:textId="37D6ED9C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8.34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1C66" w14:textId="4B6652B0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del Estado de México</w:t>
            </w:r>
          </w:p>
        </w:tc>
      </w:tr>
      <w:tr w:rsidR="0094777C" w:rsidRPr="00917013" w14:paraId="29C2E536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E2938AB" w14:textId="2F7EFBB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E6FDAFE" w14:textId="2F872A64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431136C" w14:textId="151CC2EE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del Valle de México</w:t>
            </w:r>
          </w:p>
        </w:tc>
      </w:tr>
      <w:tr w:rsidR="0094777C" w:rsidRPr="00917013" w14:paraId="39D7F6B5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0D54" w14:textId="0B6EF097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18A6" w14:textId="3A109950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8.09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5692" w14:textId="29D65E57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Escuela Bancaria y Comercial</w:t>
            </w:r>
          </w:p>
        </w:tc>
      </w:tr>
      <w:tr w:rsidR="0094777C" w:rsidRPr="00917013" w14:paraId="23309FB1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D204529" w14:textId="1FEE060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A0A13B4" w14:textId="0968F20A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7.36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FA2CA1C" w14:textId="1A1A1A6A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Insurgentes</w:t>
            </w:r>
          </w:p>
        </w:tc>
      </w:tr>
    </w:tbl>
    <w:p w14:paraId="619D2F17" w14:textId="0F7CBAD8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F18A538" w14:textId="77777777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259"/>
        <w:gridCol w:w="5851"/>
      </w:tblGrid>
      <w:tr w:rsidR="0094777C" w:rsidRPr="00917013" w14:paraId="7C922A71" w14:textId="77777777" w:rsidTr="0094777C">
        <w:trPr>
          <w:trHeight w:val="460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247B11" w14:textId="1DBCC405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s-MX"/>
              </w:rPr>
            </w:pP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Tabla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12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. Posición de las universidades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clasificadas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en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Ingeniería Industrial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en el ranking Reforma “Las Mejores Universidades”, 2021.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ab/>
            </w:r>
          </w:p>
        </w:tc>
      </w:tr>
      <w:tr w:rsidR="0094777C" w:rsidRPr="00917013" w14:paraId="75CF6896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732737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Posición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B42DB0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Puntaje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49A86F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Universidad</w:t>
            </w:r>
          </w:p>
        </w:tc>
      </w:tr>
      <w:tr w:rsidR="0094777C" w:rsidRPr="00917013" w14:paraId="2C835721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4086" w14:textId="03EDDB49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1C3C" w14:textId="57023FBB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8.77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158B" w14:textId="0C53DC54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Politécnico Nacional</w:t>
            </w:r>
          </w:p>
        </w:tc>
      </w:tr>
      <w:tr w:rsidR="0094777C" w:rsidRPr="00917013" w14:paraId="26D77C7D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5B25A8A" w14:textId="08382B81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64839E5" w14:textId="6DE9B50C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8.71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BE1F741" w14:textId="39D38E9D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Anáhuac</w:t>
            </w:r>
          </w:p>
        </w:tc>
      </w:tr>
      <w:tr w:rsidR="0094777C" w:rsidRPr="00917013" w14:paraId="67434168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9543" w14:textId="0412DD41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DFA9D" w14:textId="62BEAD46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399D" w14:textId="480A4C24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y de Estudios Superiores de Monterrey</w:t>
            </w:r>
          </w:p>
        </w:tc>
      </w:tr>
      <w:tr w:rsidR="0094777C" w:rsidRPr="00917013" w14:paraId="22EF13F6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A3118E9" w14:textId="4E17E8A1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8956C39" w14:textId="0E46B52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765AEC8" w14:textId="03D9A062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Iberoamericana</w:t>
            </w:r>
          </w:p>
        </w:tc>
      </w:tr>
      <w:tr w:rsidR="0094777C" w:rsidRPr="00917013" w14:paraId="7F660EE9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8E06" w14:textId="4EEA6F4C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44DB" w14:textId="02FF114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8D1B" w14:textId="660A0871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La Salle</w:t>
            </w:r>
          </w:p>
        </w:tc>
      </w:tr>
      <w:tr w:rsidR="0094777C" w:rsidRPr="00906A52" w14:paraId="00D772BD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956F323" w14:textId="29F2B576" w:rsidR="0094777C" w:rsidRPr="00906A52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7BA4E2B" w14:textId="5F28449C" w:rsidR="0094777C" w:rsidRPr="00906A52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8.54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155BA42" w14:textId="26DCFF39" w:rsidR="0094777C" w:rsidRPr="00906A52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Universidad Nacional Autónoma de México</w:t>
            </w:r>
          </w:p>
        </w:tc>
      </w:tr>
      <w:tr w:rsidR="0094777C" w:rsidRPr="00917013" w14:paraId="01A5B5B3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5A68" w14:textId="0737EC6D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25E4" w14:textId="0775C65A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8.37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8687" w14:textId="4C471960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Metropolitana</w:t>
            </w:r>
          </w:p>
        </w:tc>
      </w:tr>
      <w:tr w:rsidR="0094777C" w:rsidRPr="00917013" w14:paraId="1A75127B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D384089" w14:textId="5EA557EE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2109D91" w14:textId="082B406C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8.27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27981CA" w14:textId="7E53257B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del Valle de México</w:t>
            </w:r>
          </w:p>
        </w:tc>
      </w:tr>
      <w:tr w:rsidR="0094777C" w:rsidRPr="00917013" w14:paraId="6C0F3312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B8FA" w14:textId="56D1CD01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FC74" w14:textId="49B279CD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8.16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B95E" w14:textId="5EF79087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del Estado de México</w:t>
            </w:r>
          </w:p>
        </w:tc>
      </w:tr>
      <w:tr w:rsidR="0094777C" w:rsidRPr="00917013" w14:paraId="015E4968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E273745" w14:textId="5A7069D3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180241C" w14:textId="2598BB3D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BF64268" w14:textId="6F53E91A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Panamericana</w:t>
            </w:r>
          </w:p>
        </w:tc>
      </w:tr>
      <w:tr w:rsidR="0094777C" w:rsidRPr="00917013" w14:paraId="05D6FDF4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C20C" w14:textId="01227167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00BB" w14:textId="21651FB6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8.05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D805" w14:textId="3F7E51CD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Tecnológico de Estudios Cuautitlán Izcalli</w:t>
            </w:r>
          </w:p>
        </w:tc>
      </w:tr>
      <w:tr w:rsidR="0094777C" w:rsidRPr="00917013" w14:paraId="66C70ECE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3D92DB8" w14:textId="6C14EBCA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DBBA889" w14:textId="51E616A1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33D6E8F" w14:textId="08D9C21C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Tecnológico de Estudios Superiores de Coacalco</w:t>
            </w:r>
          </w:p>
        </w:tc>
      </w:tr>
      <w:tr w:rsidR="0094777C" w:rsidRPr="00917013" w14:paraId="439E668E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F124" w14:textId="24F8505D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F009" w14:textId="652FCF5B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7.97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49C8" w14:textId="4393B283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de Tlalnepantla</w:t>
            </w:r>
          </w:p>
        </w:tc>
      </w:tr>
      <w:tr w:rsidR="0094777C" w:rsidRPr="00917013" w14:paraId="5576EF8C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ED13AD1" w14:textId="16C2E07B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BCA269D" w14:textId="4D2A8FF2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7.69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53821D7" w14:textId="74E118C4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Tecnológica de México</w:t>
            </w:r>
          </w:p>
        </w:tc>
      </w:tr>
    </w:tbl>
    <w:p w14:paraId="037D1F40" w14:textId="2892F5EC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259"/>
        <w:gridCol w:w="5851"/>
      </w:tblGrid>
      <w:tr w:rsidR="0094777C" w:rsidRPr="00917013" w14:paraId="7DA2C3FC" w14:textId="77777777" w:rsidTr="0094777C">
        <w:trPr>
          <w:trHeight w:val="460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28A730" w14:textId="64D517DF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s-MX"/>
              </w:rPr>
            </w:pP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Tabla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13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. Posición de las universidades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clasificadas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en 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Economía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en el ranking Reforma “Las Mejores Universidades”, 2021.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ab/>
            </w:r>
          </w:p>
        </w:tc>
      </w:tr>
      <w:tr w:rsidR="0094777C" w:rsidRPr="00917013" w14:paraId="69220E14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459BCC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Posición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76C7AF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Puntaje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D777F6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Universidad</w:t>
            </w:r>
          </w:p>
        </w:tc>
      </w:tr>
      <w:tr w:rsidR="0094777C" w:rsidRPr="00917013" w14:paraId="1857543D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FCD1" w14:textId="4E2B6A80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B8D0" w14:textId="72A18551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9.29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EA10" w14:textId="398465F1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Autónomo de México</w:t>
            </w:r>
          </w:p>
        </w:tc>
      </w:tr>
      <w:tr w:rsidR="0094777C" w:rsidRPr="00917013" w14:paraId="372BBC8D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9475544" w14:textId="2747AF96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09EF8E0" w14:textId="0427C997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9.23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DBEAE26" w14:textId="056D4CE6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Centro de Investigación y Docencia Económicas</w:t>
            </w:r>
          </w:p>
        </w:tc>
      </w:tr>
      <w:tr w:rsidR="0094777C" w:rsidRPr="00917013" w14:paraId="025D9451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3169" w14:textId="4D2BB905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47DC" w14:textId="2165C7C4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9.02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9E0A" w14:textId="58AD609A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Iberoamericana</w:t>
            </w:r>
          </w:p>
        </w:tc>
      </w:tr>
      <w:tr w:rsidR="0094777C" w:rsidRPr="00917013" w14:paraId="6415333D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B0FA11F" w14:textId="0E5FC8D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1A4F6DD" w14:textId="0BA8B23B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9.01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09F232D" w14:textId="61CA37E8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y de Estudios Superiores de Monterrey</w:t>
            </w:r>
          </w:p>
        </w:tc>
      </w:tr>
      <w:tr w:rsidR="0094777C" w:rsidRPr="00917013" w14:paraId="2FA1C465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91DA" w14:textId="25CF9B25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1C87" w14:textId="0520AD5E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5A0F" w14:textId="446DD443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Panamericana</w:t>
            </w:r>
          </w:p>
        </w:tc>
      </w:tr>
      <w:tr w:rsidR="0094777C" w:rsidRPr="00917013" w14:paraId="38AB8609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BF83373" w14:textId="4474E6AE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BDABE09" w14:textId="53C280F8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8.94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1B93178" w14:textId="67DA892D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Metropolitana</w:t>
            </w:r>
          </w:p>
        </w:tc>
      </w:tr>
      <w:tr w:rsidR="0094777C" w:rsidRPr="0094777C" w14:paraId="4E80B7E7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DF04" w14:textId="45CD7071" w:rsidR="0094777C" w:rsidRPr="0094777C" w:rsidRDefault="0094777C" w:rsidP="009477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5B78" w14:textId="755F8ADF" w:rsidR="0094777C" w:rsidRPr="0094777C" w:rsidRDefault="0094777C" w:rsidP="009477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8.94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DB38" w14:textId="6D5F7576" w:rsidR="0094777C" w:rsidRPr="0094777C" w:rsidRDefault="0094777C" w:rsidP="0094777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47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Universidad Nacional Autónoma de México</w:t>
            </w:r>
          </w:p>
        </w:tc>
      </w:tr>
      <w:tr w:rsidR="0094777C" w:rsidRPr="00917013" w14:paraId="54FACE46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B1BFA7A" w14:textId="022A11CD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B64E0D4" w14:textId="22F9A889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8.73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811FBEF" w14:textId="5EC3590D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del Valle de México</w:t>
            </w:r>
          </w:p>
        </w:tc>
      </w:tr>
      <w:tr w:rsidR="0094777C" w:rsidRPr="00917013" w14:paraId="79738865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3417" w14:textId="073C2AEE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15F7" w14:textId="4F783C4A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8.70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AD19" w14:textId="1BA3EB46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Instituto Politécnico Nacional</w:t>
            </w:r>
          </w:p>
        </w:tc>
      </w:tr>
      <w:tr w:rsidR="0094777C" w:rsidRPr="00917013" w14:paraId="2EF37ADA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044959B" w14:textId="7A858CC1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22C5285" w14:textId="7075CE62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96691C8" w14:textId="727B729F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Anáhuac</w:t>
            </w:r>
          </w:p>
        </w:tc>
      </w:tr>
      <w:tr w:rsidR="0094777C" w:rsidRPr="00917013" w14:paraId="69D75580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C4D4" w14:textId="04E922B2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C55E" w14:textId="7EE4AD8C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8.62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8483" w14:textId="25E2DE7B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Tecnológica de México</w:t>
            </w:r>
          </w:p>
        </w:tc>
      </w:tr>
      <w:tr w:rsidR="0094777C" w:rsidRPr="00917013" w14:paraId="366873D5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4F80D62" w14:textId="0B7DC9A9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B262212" w14:textId="73AE1BFA" w:rsidR="0094777C" w:rsidRPr="0094777C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8.38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0F5F297" w14:textId="79743FE0" w:rsidR="0094777C" w:rsidRPr="0094777C" w:rsidRDefault="0094777C" w:rsidP="009477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Universidad Autónoma del Estado de México</w:t>
            </w:r>
          </w:p>
        </w:tc>
      </w:tr>
      <w:tr w:rsidR="0094777C" w:rsidRPr="00917013" w14:paraId="663C128E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07836" w14:textId="7BC37087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948C" w14:textId="13C0EA80" w:rsidR="0094777C" w:rsidRPr="0094777C" w:rsidRDefault="0094777C" w:rsidP="00947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8.33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8C09" w14:textId="6AF0E2ED" w:rsidR="0094777C" w:rsidRPr="0094777C" w:rsidRDefault="0094777C" w:rsidP="0094777C">
            <w:pPr>
              <w:spacing w:after="0" w:line="240" w:lineRule="auto"/>
              <w:rPr>
                <w:sz w:val="20"/>
                <w:szCs w:val="20"/>
              </w:rPr>
            </w:pPr>
            <w:r w:rsidRPr="0094777C">
              <w:rPr>
                <w:rFonts w:ascii="Calibri" w:hAnsi="Calibri" w:cs="Calibri"/>
                <w:color w:val="000000"/>
                <w:sz w:val="20"/>
                <w:szCs w:val="20"/>
              </w:rPr>
              <w:t>Escuela Bancaria y Comercial</w:t>
            </w:r>
          </w:p>
        </w:tc>
      </w:tr>
    </w:tbl>
    <w:p w14:paraId="28F12BC3" w14:textId="712129E6" w:rsid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259"/>
        <w:gridCol w:w="5851"/>
      </w:tblGrid>
      <w:tr w:rsidR="0094777C" w:rsidRPr="00917013" w14:paraId="73C4C738" w14:textId="77777777" w:rsidTr="0094777C">
        <w:trPr>
          <w:trHeight w:val="460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44141F" w14:textId="4BE92E71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es-MX"/>
              </w:rPr>
            </w:pP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Tabla </w:t>
            </w:r>
            <w:r w:rsidR="00906A52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14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. Posición de las universidades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clasificadas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en </w:t>
            </w:r>
            <w:r w:rsidR="00906A52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Ingeniería Mecatrónica</w:t>
            </w:r>
            <w:r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 xml:space="preserve"> 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en el ranking Reforma “Las Mejores Universidades”, 2021.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ab/>
            </w:r>
          </w:p>
        </w:tc>
      </w:tr>
      <w:tr w:rsidR="0094777C" w:rsidRPr="00917013" w14:paraId="098BBC1D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1BA701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Posición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E2AE59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Puntaje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477622" w14:textId="77777777" w:rsidR="0094777C" w:rsidRPr="00917013" w:rsidRDefault="0094777C" w:rsidP="0094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9170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Universidad</w:t>
            </w:r>
          </w:p>
        </w:tc>
      </w:tr>
      <w:tr w:rsidR="00906A52" w:rsidRPr="00917013" w14:paraId="727B86CF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5C22" w14:textId="0901F950" w:rsidR="00906A52" w:rsidRPr="00906A52" w:rsidRDefault="00906A52" w:rsidP="0090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55A6" w14:textId="2BC62B9C" w:rsidR="00906A52" w:rsidRPr="00906A52" w:rsidRDefault="00906A52" w:rsidP="0090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8.93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9E38" w14:textId="6C83D1D4" w:rsidR="00906A52" w:rsidRPr="00906A52" w:rsidRDefault="00906A52" w:rsidP="00906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Universidad Panamericana</w:t>
            </w:r>
          </w:p>
        </w:tc>
      </w:tr>
      <w:tr w:rsidR="00906A52" w:rsidRPr="00917013" w14:paraId="11F74D35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7EFA372" w14:textId="1815A585" w:rsidR="00906A52" w:rsidRPr="00906A52" w:rsidRDefault="00906A52" w:rsidP="0090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F5E03CA" w14:textId="117BA5FA" w:rsidR="00906A52" w:rsidRPr="00906A52" w:rsidRDefault="00906A52" w:rsidP="0090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8.91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4C418C7" w14:textId="4F9B264F" w:rsidR="00906A52" w:rsidRPr="00906A52" w:rsidRDefault="00906A52" w:rsidP="00906A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Universidad Anáhuac</w:t>
            </w:r>
          </w:p>
        </w:tc>
      </w:tr>
      <w:tr w:rsidR="00906A52" w:rsidRPr="00917013" w14:paraId="2D954D8B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A599" w14:textId="0E199146" w:rsidR="00906A52" w:rsidRPr="00906A52" w:rsidRDefault="00906A52" w:rsidP="0090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B307" w14:textId="05E6E57A" w:rsidR="00906A52" w:rsidRPr="00906A52" w:rsidRDefault="00906A52" w:rsidP="0090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8.83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E238" w14:textId="05FE31E5" w:rsidR="00906A52" w:rsidRPr="00906A52" w:rsidRDefault="00906A52" w:rsidP="00906A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Universidad Iberoamericana</w:t>
            </w:r>
          </w:p>
        </w:tc>
      </w:tr>
      <w:tr w:rsidR="00906A52" w:rsidRPr="00917013" w14:paraId="45E4BFD2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3CCA71C" w14:textId="03CCD6FE" w:rsidR="00906A52" w:rsidRPr="00906A52" w:rsidRDefault="00906A52" w:rsidP="0090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D33C04D" w14:textId="6460759C" w:rsidR="00906A52" w:rsidRPr="00906A52" w:rsidRDefault="00906A52" w:rsidP="0090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8.75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5652FB9" w14:textId="638CC95F" w:rsidR="00906A52" w:rsidRPr="00906A52" w:rsidRDefault="00906A52" w:rsidP="00906A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Universidad La Salle</w:t>
            </w:r>
          </w:p>
        </w:tc>
      </w:tr>
      <w:tr w:rsidR="00906A52" w:rsidRPr="00917013" w14:paraId="01C22961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BF9D" w14:textId="2B162A57" w:rsidR="00906A52" w:rsidRPr="00906A52" w:rsidRDefault="00906A52" w:rsidP="0090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F28E" w14:textId="0C630381" w:rsidR="00906A52" w:rsidRPr="00906A52" w:rsidRDefault="00906A52" w:rsidP="0090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09A1" w14:textId="4D8A32AC" w:rsidR="00906A52" w:rsidRPr="00906A52" w:rsidRDefault="00906A52" w:rsidP="00906A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Instituto Tecnológico y de Estudios Superiores de Monterrey</w:t>
            </w:r>
          </w:p>
        </w:tc>
      </w:tr>
      <w:tr w:rsidR="00906A52" w:rsidRPr="00917013" w14:paraId="1940C776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0BA1115" w14:textId="49C6BCE9" w:rsidR="00906A52" w:rsidRPr="00906A52" w:rsidRDefault="00906A52" w:rsidP="0090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D2E17DD" w14:textId="684A1AF9" w:rsidR="00906A52" w:rsidRPr="00906A52" w:rsidRDefault="00906A52" w:rsidP="0090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8.51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C5663D4" w14:textId="7DF9A49C" w:rsidR="00906A52" w:rsidRPr="00906A52" w:rsidRDefault="00906A52" w:rsidP="00906A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Instituto Politécnico Nacional</w:t>
            </w:r>
          </w:p>
        </w:tc>
      </w:tr>
      <w:tr w:rsidR="00906A52" w:rsidRPr="00906A52" w14:paraId="127301F9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AEB1" w14:textId="6D2CF2EC" w:rsidR="00906A52" w:rsidRPr="00906A52" w:rsidRDefault="00906A52" w:rsidP="00906A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A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9851" w14:textId="70704A7B" w:rsidR="00906A52" w:rsidRPr="00906A52" w:rsidRDefault="00906A52" w:rsidP="00906A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6A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1101" w14:textId="1EE64F8A" w:rsidR="00906A52" w:rsidRPr="00906A52" w:rsidRDefault="00906A52" w:rsidP="00906A5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6A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Universidad Nacional Autónoma de México</w:t>
            </w:r>
          </w:p>
        </w:tc>
      </w:tr>
      <w:tr w:rsidR="00906A52" w:rsidRPr="00917013" w14:paraId="3786B63E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11F602F" w14:textId="0486288B" w:rsidR="00906A52" w:rsidRPr="00906A52" w:rsidRDefault="00906A52" w:rsidP="0090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BB9C3CB" w14:textId="29CE13F2" w:rsidR="00906A52" w:rsidRPr="00906A52" w:rsidRDefault="00906A52" w:rsidP="0090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8.18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098F89E" w14:textId="61DFEE46" w:rsidR="00906A52" w:rsidRPr="00906A52" w:rsidRDefault="00906A52" w:rsidP="00906A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Universidad del Valle de México</w:t>
            </w:r>
          </w:p>
        </w:tc>
      </w:tr>
      <w:tr w:rsidR="00906A52" w:rsidRPr="00917013" w14:paraId="56E8C12F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3147" w14:textId="66C4D895" w:rsidR="00906A52" w:rsidRPr="00906A52" w:rsidRDefault="00906A52" w:rsidP="00906A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58F2" w14:textId="28B5AE36" w:rsidR="00906A52" w:rsidRPr="00906A52" w:rsidRDefault="00906A52" w:rsidP="00906A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01D3" w14:textId="5CE91E8A" w:rsidR="00906A52" w:rsidRPr="00906A52" w:rsidRDefault="00906A52" w:rsidP="00906A52">
            <w:pPr>
              <w:spacing w:after="0" w:line="240" w:lineRule="auto"/>
              <w:rPr>
                <w:sz w:val="20"/>
                <w:szCs w:val="20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Universidad Tecnológica de México</w:t>
            </w:r>
          </w:p>
        </w:tc>
      </w:tr>
      <w:tr w:rsidR="00906A52" w:rsidRPr="00917013" w14:paraId="7CCC4FA4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A48177E" w14:textId="76457490" w:rsidR="00906A52" w:rsidRPr="00906A52" w:rsidRDefault="00906A52" w:rsidP="0090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ABA1A6E" w14:textId="6195AFBF" w:rsidR="00906A52" w:rsidRPr="00906A52" w:rsidRDefault="00906A52" w:rsidP="0090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7.98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094F01C" w14:textId="468420E8" w:rsidR="00906A52" w:rsidRPr="00906A52" w:rsidRDefault="00906A52" w:rsidP="00906A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Tecnológico de Estudios Superiores de Ecatepec</w:t>
            </w:r>
          </w:p>
        </w:tc>
      </w:tr>
      <w:tr w:rsidR="00906A52" w:rsidRPr="00917013" w14:paraId="41B2ECD3" w14:textId="77777777" w:rsidTr="0094777C">
        <w:trPr>
          <w:trHeight w:val="22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2EE1" w14:textId="55EF3B0C" w:rsidR="00906A52" w:rsidRPr="00906A52" w:rsidRDefault="00906A52" w:rsidP="00906A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4195" w14:textId="55B9223C" w:rsidR="00906A52" w:rsidRPr="00906A52" w:rsidRDefault="00906A52" w:rsidP="00906A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7.83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D4C8" w14:textId="3A6340B2" w:rsidR="00906A52" w:rsidRPr="00906A52" w:rsidRDefault="00906A52" w:rsidP="00906A52">
            <w:pPr>
              <w:spacing w:after="0" w:line="240" w:lineRule="auto"/>
              <w:rPr>
                <w:sz w:val="20"/>
                <w:szCs w:val="20"/>
              </w:rPr>
            </w:pPr>
            <w:r w:rsidRPr="00906A52">
              <w:rPr>
                <w:rFonts w:ascii="Calibri" w:hAnsi="Calibri" w:cs="Calibri"/>
                <w:color w:val="000000"/>
                <w:sz w:val="20"/>
                <w:szCs w:val="20"/>
              </w:rPr>
              <w:t>Tecnológico de Estudios Superiores de Coacalco</w:t>
            </w:r>
          </w:p>
        </w:tc>
      </w:tr>
    </w:tbl>
    <w:p w14:paraId="0D65275D" w14:textId="77777777" w:rsidR="0094777C" w:rsidRPr="0094777C" w:rsidRDefault="0094777C" w:rsidP="009477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3696DB0" w14:textId="741ECC2A" w:rsidR="00F20BE4" w:rsidRPr="00CD11F3" w:rsidRDefault="008A353D" w:rsidP="00A612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7013">
        <w:rPr>
          <w:sz w:val="24"/>
          <w:szCs w:val="24"/>
        </w:rPr>
        <w:t xml:space="preserve">Aunque la </w:t>
      </w:r>
      <w:r w:rsidRPr="00CD11F3">
        <w:rPr>
          <w:sz w:val="24"/>
          <w:szCs w:val="24"/>
        </w:rPr>
        <w:t xml:space="preserve">metodología </w:t>
      </w:r>
      <w:r w:rsidR="00C76C79" w:rsidRPr="00CD11F3">
        <w:rPr>
          <w:sz w:val="24"/>
          <w:szCs w:val="24"/>
        </w:rPr>
        <w:t xml:space="preserve">indica </w:t>
      </w:r>
      <w:r w:rsidRPr="00CD11F3">
        <w:rPr>
          <w:sz w:val="24"/>
          <w:szCs w:val="24"/>
        </w:rPr>
        <w:t>que fueron evaluadas 71 universidades del Valle de México y Puebla,</w:t>
      </w:r>
      <w:r w:rsidR="00C76C79" w:rsidRPr="00CD11F3">
        <w:rPr>
          <w:sz w:val="24"/>
          <w:szCs w:val="24"/>
        </w:rPr>
        <w:t xml:space="preserve"> </w:t>
      </w:r>
      <w:r w:rsidR="00B6319D">
        <w:rPr>
          <w:sz w:val="24"/>
          <w:szCs w:val="24"/>
        </w:rPr>
        <w:t xml:space="preserve">realmente </w:t>
      </w:r>
      <w:r w:rsidR="00C76C79" w:rsidRPr="00CD11F3">
        <w:rPr>
          <w:sz w:val="24"/>
          <w:szCs w:val="24"/>
        </w:rPr>
        <w:t xml:space="preserve">fueron clasificadas </w:t>
      </w:r>
      <w:r w:rsidR="00F20BE4" w:rsidRPr="00CD11F3">
        <w:rPr>
          <w:sz w:val="24"/>
          <w:szCs w:val="24"/>
        </w:rPr>
        <w:t>44</w:t>
      </w:r>
      <w:r w:rsidRPr="00CD11F3">
        <w:rPr>
          <w:sz w:val="24"/>
          <w:szCs w:val="24"/>
        </w:rPr>
        <w:t xml:space="preserve"> universidades </w:t>
      </w:r>
      <w:r w:rsidR="00C76C79" w:rsidRPr="00CD11F3">
        <w:rPr>
          <w:sz w:val="24"/>
          <w:szCs w:val="24"/>
        </w:rPr>
        <w:t xml:space="preserve">con participación </w:t>
      </w:r>
      <w:r w:rsidRPr="00CD11F3">
        <w:rPr>
          <w:sz w:val="24"/>
          <w:szCs w:val="24"/>
        </w:rPr>
        <w:t xml:space="preserve">en </w:t>
      </w:r>
      <w:r w:rsidR="00B6319D">
        <w:rPr>
          <w:sz w:val="24"/>
          <w:szCs w:val="24"/>
        </w:rPr>
        <w:t xml:space="preserve">alguno de los </w:t>
      </w:r>
      <w:r w:rsidR="00F20BE4" w:rsidRPr="00CD11F3">
        <w:rPr>
          <w:sz w:val="24"/>
          <w:szCs w:val="24"/>
        </w:rPr>
        <w:t xml:space="preserve">17 </w:t>
      </w:r>
      <w:r w:rsidRPr="00CD11F3">
        <w:rPr>
          <w:sz w:val="24"/>
          <w:szCs w:val="24"/>
        </w:rPr>
        <w:t>programa</w:t>
      </w:r>
      <w:r w:rsidR="00F20BE4" w:rsidRPr="00CD11F3">
        <w:rPr>
          <w:sz w:val="24"/>
          <w:szCs w:val="24"/>
        </w:rPr>
        <w:t>s</w:t>
      </w:r>
      <w:r w:rsidRPr="00CD11F3">
        <w:rPr>
          <w:sz w:val="24"/>
          <w:szCs w:val="24"/>
        </w:rPr>
        <w:t xml:space="preserve"> de licenciatura</w:t>
      </w:r>
      <w:r w:rsidR="00C76C79" w:rsidRPr="00CD11F3">
        <w:rPr>
          <w:sz w:val="24"/>
          <w:szCs w:val="24"/>
        </w:rPr>
        <w:t>.</w:t>
      </w:r>
    </w:p>
    <w:p w14:paraId="221C7185" w14:textId="77777777" w:rsidR="00F20BE4" w:rsidRPr="00CD11F3" w:rsidRDefault="00F20BE4" w:rsidP="00F20BE4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51D761DC" w14:textId="4CF4F790" w:rsidR="008A353D" w:rsidRPr="00917013" w:rsidRDefault="00F20BE4" w:rsidP="00F20BE4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CD11F3">
        <w:rPr>
          <w:sz w:val="24"/>
          <w:szCs w:val="24"/>
        </w:rPr>
        <w:t xml:space="preserve">Sin embargo, para el propósito de este informe se consideran 35 universidades. </w:t>
      </w:r>
      <w:r w:rsidR="001D1104" w:rsidRPr="00CD11F3">
        <w:rPr>
          <w:sz w:val="24"/>
          <w:szCs w:val="24"/>
        </w:rPr>
        <w:t xml:space="preserve">Dicho total </w:t>
      </w:r>
      <w:bookmarkStart w:id="2" w:name="_Hlk68535500"/>
      <w:r w:rsidR="001D1104" w:rsidRPr="00CD11F3">
        <w:rPr>
          <w:sz w:val="24"/>
          <w:szCs w:val="24"/>
        </w:rPr>
        <w:t>e</w:t>
      </w:r>
      <w:r w:rsidR="00C76C79" w:rsidRPr="00CD11F3">
        <w:rPr>
          <w:sz w:val="24"/>
          <w:szCs w:val="24"/>
        </w:rPr>
        <w:t xml:space="preserve">xcluye a las </w:t>
      </w:r>
      <w:r w:rsidR="00D235E9" w:rsidRPr="00CD11F3">
        <w:rPr>
          <w:sz w:val="24"/>
          <w:szCs w:val="24"/>
        </w:rPr>
        <w:t xml:space="preserve">carreras </w:t>
      </w:r>
      <w:r w:rsidR="00C76C79" w:rsidRPr="00CD11F3">
        <w:rPr>
          <w:sz w:val="24"/>
          <w:szCs w:val="24"/>
        </w:rPr>
        <w:t xml:space="preserve">de </w:t>
      </w:r>
      <w:r w:rsidR="00D235E9" w:rsidRPr="00CD11F3">
        <w:rPr>
          <w:sz w:val="24"/>
          <w:szCs w:val="24"/>
        </w:rPr>
        <w:t>Finanzas, Gastronomía, y Mercadotecnia</w:t>
      </w:r>
      <w:r w:rsidR="00FF4693">
        <w:rPr>
          <w:sz w:val="24"/>
          <w:szCs w:val="24"/>
        </w:rPr>
        <w:t>, las cuales</w:t>
      </w:r>
      <w:r w:rsidR="00C76C79" w:rsidRPr="00CD11F3">
        <w:rPr>
          <w:sz w:val="24"/>
          <w:szCs w:val="24"/>
        </w:rPr>
        <w:t xml:space="preserve"> no son ofertadas en la UNAM</w:t>
      </w:r>
      <w:r w:rsidR="00D235E9" w:rsidRPr="00CD11F3">
        <w:rPr>
          <w:sz w:val="24"/>
          <w:szCs w:val="24"/>
        </w:rPr>
        <w:t>.</w:t>
      </w:r>
      <w:bookmarkEnd w:id="2"/>
    </w:p>
    <w:p w14:paraId="6E11038A" w14:textId="77777777" w:rsidR="008A353D" w:rsidRPr="00843460" w:rsidRDefault="008A353D" w:rsidP="00843460">
      <w:pPr>
        <w:spacing w:after="0" w:line="240" w:lineRule="auto"/>
        <w:jc w:val="both"/>
        <w:rPr>
          <w:sz w:val="24"/>
          <w:szCs w:val="24"/>
        </w:rPr>
      </w:pPr>
    </w:p>
    <w:p w14:paraId="580D1C24" w14:textId="71C828E2" w:rsidR="00A61297" w:rsidRDefault="00A67E41" w:rsidP="00A61297">
      <w:pPr>
        <w:spacing w:after="0" w:line="240" w:lineRule="auto"/>
        <w:jc w:val="both"/>
        <w:rPr>
          <w:b/>
          <w:bCs/>
          <w:sz w:val="24"/>
          <w:szCs w:val="24"/>
        </w:rPr>
      </w:pPr>
      <w:r w:rsidRPr="00917013">
        <w:rPr>
          <w:b/>
          <w:bCs/>
          <w:sz w:val="24"/>
          <w:szCs w:val="24"/>
        </w:rPr>
        <w:t>C</w:t>
      </w:r>
      <w:r w:rsidR="00A61297" w:rsidRPr="00917013">
        <w:rPr>
          <w:b/>
          <w:bCs/>
          <w:sz w:val="24"/>
          <w:szCs w:val="24"/>
        </w:rPr>
        <w:t>omportamiento de las disciplinas evaluadas de la UNAM</w:t>
      </w:r>
    </w:p>
    <w:p w14:paraId="26D56D46" w14:textId="77777777" w:rsidR="008B5123" w:rsidRPr="00917013" w:rsidRDefault="008B5123" w:rsidP="00A6129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9FD77A9" w14:textId="6119EB71" w:rsidR="00A61297" w:rsidRDefault="00A61297" w:rsidP="00A612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7013">
        <w:rPr>
          <w:sz w:val="24"/>
          <w:szCs w:val="24"/>
        </w:rPr>
        <w:t xml:space="preserve">La UNAM </w:t>
      </w:r>
      <w:r w:rsidR="003476EF" w:rsidRPr="00917013">
        <w:rPr>
          <w:sz w:val="24"/>
          <w:szCs w:val="24"/>
        </w:rPr>
        <w:t xml:space="preserve">fue </w:t>
      </w:r>
      <w:r w:rsidR="00AB136E" w:rsidRPr="00917013">
        <w:rPr>
          <w:sz w:val="24"/>
          <w:szCs w:val="24"/>
        </w:rPr>
        <w:t xml:space="preserve">clasificada </w:t>
      </w:r>
      <w:r w:rsidR="003476EF" w:rsidRPr="00917013">
        <w:rPr>
          <w:sz w:val="24"/>
          <w:szCs w:val="24"/>
        </w:rPr>
        <w:t xml:space="preserve">en 14 de </w:t>
      </w:r>
      <w:r w:rsidR="00562E0C" w:rsidRPr="00917013">
        <w:rPr>
          <w:sz w:val="24"/>
          <w:szCs w:val="24"/>
        </w:rPr>
        <w:t xml:space="preserve">los </w:t>
      </w:r>
      <w:r w:rsidR="003476EF" w:rsidRPr="00917013">
        <w:rPr>
          <w:sz w:val="24"/>
          <w:szCs w:val="24"/>
        </w:rPr>
        <w:t xml:space="preserve">17 </w:t>
      </w:r>
      <w:r w:rsidR="00562E0C" w:rsidRPr="00917013">
        <w:rPr>
          <w:sz w:val="24"/>
          <w:szCs w:val="24"/>
        </w:rPr>
        <w:t xml:space="preserve">programas de licenciatura considerados </w:t>
      </w:r>
      <w:r w:rsidR="003476EF" w:rsidRPr="00917013">
        <w:rPr>
          <w:sz w:val="24"/>
          <w:szCs w:val="24"/>
        </w:rPr>
        <w:t>por el ranking</w:t>
      </w:r>
      <w:r w:rsidR="00562E0C" w:rsidRPr="00917013">
        <w:rPr>
          <w:sz w:val="24"/>
          <w:szCs w:val="24"/>
        </w:rPr>
        <w:t xml:space="preserve">, de los cuales </w:t>
      </w:r>
      <w:r w:rsidR="007D346F">
        <w:rPr>
          <w:sz w:val="24"/>
          <w:szCs w:val="24"/>
        </w:rPr>
        <w:t>12 (</w:t>
      </w:r>
      <w:r w:rsidR="00562E0C" w:rsidRPr="00917013">
        <w:rPr>
          <w:sz w:val="24"/>
          <w:szCs w:val="24"/>
        </w:rPr>
        <w:t>86%</w:t>
      </w:r>
      <w:r w:rsidR="007D346F">
        <w:rPr>
          <w:sz w:val="24"/>
          <w:szCs w:val="24"/>
        </w:rPr>
        <w:t>)</w:t>
      </w:r>
      <w:r w:rsidR="00562E0C" w:rsidRPr="00917013">
        <w:rPr>
          <w:sz w:val="24"/>
          <w:szCs w:val="24"/>
        </w:rPr>
        <w:t xml:space="preserve"> fueron </w:t>
      </w:r>
      <w:r w:rsidR="005126DF" w:rsidRPr="00917013">
        <w:rPr>
          <w:sz w:val="24"/>
          <w:szCs w:val="24"/>
        </w:rPr>
        <w:t>situados</w:t>
      </w:r>
      <w:r w:rsidR="00562E0C" w:rsidRPr="00917013">
        <w:rPr>
          <w:sz w:val="24"/>
          <w:szCs w:val="24"/>
        </w:rPr>
        <w:t xml:space="preserve"> </w:t>
      </w:r>
      <w:r w:rsidR="009A562A">
        <w:rPr>
          <w:sz w:val="24"/>
          <w:szCs w:val="24"/>
        </w:rPr>
        <w:t>en</w:t>
      </w:r>
      <w:r w:rsidR="004A5B5A">
        <w:rPr>
          <w:sz w:val="24"/>
          <w:szCs w:val="24"/>
        </w:rPr>
        <w:t>tre</w:t>
      </w:r>
      <w:r w:rsidR="009A562A">
        <w:rPr>
          <w:sz w:val="24"/>
          <w:szCs w:val="24"/>
        </w:rPr>
        <w:t xml:space="preserve"> los primeros 5 lugares</w:t>
      </w:r>
      <w:r w:rsidR="00562E0C" w:rsidRPr="00917013">
        <w:rPr>
          <w:sz w:val="24"/>
          <w:szCs w:val="24"/>
        </w:rPr>
        <w:t>.</w:t>
      </w:r>
    </w:p>
    <w:p w14:paraId="1EEE6D24" w14:textId="77777777" w:rsidR="007202D4" w:rsidRPr="00917013" w:rsidRDefault="007202D4" w:rsidP="007202D4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6CC3B8E0" w14:textId="15449199" w:rsidR="0093632B" w:rsidRPr="00917013" w:rsidRDefault="0093632B" w:rsidP="00A612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7013">
        <w:rPr>
          <w:sz w:val="24"/>
          <w:szCs w:val="24"/>
        </w:rPr>
        <w:t xml:space="preserve">La UNAM fue clasificada </w:t>
      </w:r>
      <w:r w:rsidR="00843460">
        <w:rPr>
          <w:sz w:val="24"/>
          <w:szCs w:val="24"/>
        </w:rPr>
        <w:t xml:space="preserve">en el primer lugar </w:t>
      </w:r>
      <w:r w:rsidRPr="00917013">
        <w:rPr>
          <w:sz w:val="24"/>
          <w:szCs w:val="24"/>
        </w:rPr>
        <w:t xml:space="preserve">en la carrera de Psicología con un puntaje de 9.11, y </w:t>
      </w:r>
      <w:r w:rsidR="00CB15A1" w:rsidRPr="00917013">
        <w:rPr>
          <w:sz w:val="24"/>
          <w:szCs w:val="24"/>
        </w:rPr>
        <w:t xml:space="preserve">en la carrera de </w:t>
      </w:r>
      <w:r w:rsidRPr="00917013">
        <w:rPr>
          <w:sz w:val="24"/>
          <w:szCs w:val="24"/>
        </w:rPr>
        <w:t>Medicina con un puntaje de 9.10.</w:t>
      </w:r>
    </w:p>
    <w:p w14:paraId="2B985A25" w14:textId="77777777" w:rsidR="0093632B" w:rsidRPr="00917013" w:rsidRDefault="0093632B" w:rsidP="0093632B">
      <w:pPr>
        <w:pStyle w:val="ListParagraph"/>
        <w:rPr>
          <w:sz w:val="24"/>
          <w:szCs w:val="24"/>
        </w:rPr>
      </w:pPr>
    </w:p>
    <w:p w14:paraId="704BA568" w14:textId="2AE4AE72" w:rsidR="00F2618B" w:rsidRPr="00917013" w:rsidRDefault="00F2618B" w:rsidP="00F261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7013">
        <w:rPr>
          <w:sz w:val="24"/>
          <w:szCs w:val="24"/>
        </w:rPr>
        <w:t xml:space="preserve">Al comparar el desempeño de la UNAM en ediciones del ranking 2020 y 2021, es posible apreciar </w:t>
      </w:r>
      <w:r w:rsidR="00BE770F" w:rsidRPr="00917013">
        <w:rPr>
          <w:sz w:val="24"/>
          <w:szCs w:val="24"/>
        </w:rPr>
        <w:t>lo siguiente:</w:t>
      </w:r>
    </w:p>
    <w:p w14:paraId="35F642F7" w14:textId="7FB30F24" w:rsidR="00BE770F" w:rsidRPr="00917013" w:rsidRDefault="00BE770F" w:rsidP="00BE770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</w:rPr>
      </w:pPr>
      <w:r w:rsidRPr="00917013">
        <w:rPr>
          <w:sz w:val="24"/>
        </w:rPr>
        <w:t>Por segundo año consecutivo, la UNAM mantuvo el primer lugar en la carrera de Psicología.</w:t>
      </w:r>
    </w:p>
    <w:p w14:paraId="7FD8FE00" w14:textId="1748D5F1" w:rsidR="00F2618B" w:rsidRPr="00917013" w:rsidRDefault="00BE770F" w:rsidP="00F2618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7013">
        <w:rPr>
          <w:sz w:val="24"/>
          <w:szCs w:val="24"/>
        </w:rPr>
        <w:t xml:space="preserve">Se </w:t>
      </w:r>
      <w:r w:rsidR="00A61297" w:rsidRPr="00917013">
        <w:rPr>
          <w:sz w:val="24"/>
          <w:szCs w:val="24"/>
        </w:rPr>
        <w:t xml:space="preserve">mejoró </w:t>
      </w:r>
      <w:r w:rsidRPr="00917013">
        <w:rPr>
          <w:sz w:val="24"/>
          <w:szCs w:val="24"/>
        </w:rPr>
        <w:t xml:space="preserve">la </w:t>
      </w:r>
      <w:r w:rsidR="00A61297" w:rsidRPr="00917013">
        <w:rPr>
          <w:sz w:val="24"/>
          <w:szCs w:val="24"/>
        </w:rPr>
        <w:t xml:space="preserve">posición </w:t>
      </w:r>
      <w:r w:rsidRPr="00917013">
        <w:rPr>
          <w:sz w:val="24"/>
          <w:szCs w:val="24"/>
        </w:rPr>
        <w:t xml:space="preserve">de </w:t>
      </w:r>
      <w:r w:rsidR="00F2618B" w:rsidRPr="00917013">
        <w:rPr>
          <w:sz w:val="24"/>
          <w:szCs w:val="24"/>
        </w:rPr>
        <w:t>6 programas de licenciatura</w:t>
      </w:r>
      <w:r w:rsidR="00A61297" w:rsidRPr="00917013">
        <w:rPr>
          <w:sz w:val="24"/>
          <w:szCs w:val="24"/>
        </w:rPr>
        <w:t xml:space="preserve">, donde se destaca el avance de </w:t>
      </w:r>
      <w:r w:rsidR="00F2618B" w:rsidRPr="00917013">
        <w:rPr>
          <w:sz w:val="24"/>
          <w:szCs w:val="24"/>
        </w:rPr>
        <w:t xml:space="preserve">3 </w:t>
      </w:r>
      <w:r w:rsidR="00A61297" w:rsidRPr="00917013">
        <w:rPr>
          <w:sz w:val="24"/>
          <w:szCs w:val="24"/>
        </w:rPr>
        <w:t xml:space="preserve">lugares en </w:t>
      </w:r>
      <w:r w:rsidR="00F2618B" w:rsidRPr="00917013">
        <w:rPr>
          <w:sz w:val="24"/>
          <w:szCs w:val="24"/>
        </w:rPr>
        <w:t>Ingeniería Industrial</w:t>
      </w:r>
      <w:r w:rsidR="00A61297" w:rsidRPr="00917013">
        <w:rPr>
          <w:sz w:val="24"/>
          <w:szCs w:val="24"/>
        </w:rPr>
        <w:t xml:space="preserve">, al pasar del lugar </w:t>
      </w:r>
      <w:r w:rsidR="00F2618B" w:rsidRPr="00917013">
        <w:rPr>
          <w:sz w:val="24"/>
          <w:szCs w:val="24"/>
        </w:rPr>
        <w:t xml:space="preserve">8 </w:t>
      </w:r>
      <w:r w:rsidR="00A61297" w:rsidRPr="00917013">
        <w:rPr>
          <w:sz w:val="24"/>
          <w:szCs w:val="24"/>
        </w:rPr>
        <w:t xml:space="preserve">en 2020 al </w:t>
      </w:r>
      <w:r w:rsidR="00F2618B" w:rsidRPr="00917013">
        <w:rPr>
          <w:sz w:val="24"/>
          <w:szCs w:val="24"/>
        </w:rPr>
        <w:t xml:space="preserve">5 </w:t>
      </w:r>
      <w:r w:rsidR="00A61297" w:rsidRPr="00917013">
        <w:rPr>
          <w:sz w:val="24"/>
          <w:szCs w:val="24"/>
        </w:rPr>
        <w:t>en 2021.</w:t>
      </w:r>
    </w:p>
    <w:p w14:paraId="1D812873" w14:textId="2130933B" w:rsidR="00390121" w:rsidRPr="00917013" w:rsidRDefault="00A61297" w:rsidP="00F2618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7013">
        <w:rPr>
          <w:sz w:val="24"/>
          <w:szCs w:val="24"/>
        </w:rPr>
        <w:t>El resto de l</w:t>
      </w:r>
      <w:r w:rsidR="00F2618B" w:rsidRPr="00917013">
        <w:rPr>
          <w:sz w:val="24"/>
          <w:szCs w:val="24"/>
        </w:rPr>
        <w:t xml:space="preserve">os programas presentaron un ligero </w:t>
      </w:r>
      <w:r w:rsidRPr="00917013">
        <w:rPr>
          <w:sz w:val="24"/>
          <w:szCs w:val="24"/>
        </w:rPr>
        <w:t>decremento</w:t>
      </w:r>
      <w:r w:rsidR="00F2618B" w:rsidRPr="00917013">
        <w:rPr>
          <w:sz w:val="24"/>
          <w:szCs w:val="24"/>
        </w:rPr>
        <w:t xml:space="preserve"> de 1</w:t>
      </w:r>
      <w:r w:rsidR="00BE770F" w:rsidRPr="00917013">
        <w:rPr>
          <w:sz w:val="24"/>
          <w:szCs w:val="24"/>
        </w:rPr>
        <w:t xml:space="preserve"> lugar, con excepción de la carrera de</w:t>
      </w:r>
      <w:r w:rsidR="00F2618B" w:rsidRPr="00917013">
        <w:rPr>
          <w:sz w:val="24"/>
          <w:szCs w:val="24"/>
        </w:rPr>
        <w:t xml:space="preserve"> </w:t>
      </w:r>
      <w:r w:rsidR="00BE770F" w:rsidRPr="00917013">
        <w:rPr>
          <w:sz w:val="24"/>
          <w:szCs w:val="24"/>
        </w:rPr>
        <w:t xml:space="preserve">Economía que descendió </w:t>
      </w:r>
      <w:r w:rsidR="00F2618B" w:rsidRPr="00917013">
        <w:rPr>
          <w:sz w:val="24"/>
          <w:szCs w:val="24"/>
        </w:rPr>
        <w:t>2 posiciones</w:t>
      </w:r>
      <w:r w:rsidR="00BE770F" w:rsidRPr="00917013">
        <w:rPr>
          <w:sz w:val="24"/>
          <w:szCs w:val="24"/>
        </w:rPr>
        <w:t>, al pasar del lugar 4 al 6</w:t>
      </w:r>
      <w:r w:rsidRPr="00917013">
        <w:rPr>
          <w:sz w:val="24"/>
          <w:szCs w:val="24"/>
        </w:rPr>
        <w:t>.</w:t>
      </w:r>
    </w:p>
    <w:p w14:paraId="5F8D0B3C" w14:textId="77777777" w:rsidR="001C6708" w:rsidRPr="00917013" w:rsidRDefault="001C6708" w:rsidP="001C670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tbl>
      <w:tblPr>
        <w:tblStyle w:val="TableGrid"/>
        <w:tblW w:w="121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12"/>
      </w:tblGrid>
      <w:tr w:rsidR="00A61297" w:rsidRPr="00917013" w14:paraId="60F450A5" w14:textId="77777777" w:rsidTr="003B69C7">
        <w:trPr>
          <w:trHeight w:val="61"/>
          <w:jc w:val="center"/>
        </w:trPr>
        <w:tc>
          <w:tcPr>
            <w:tcW w:w="12112" w:type="dxa"/>
            <w:vAlign w:val="center"/>
          </w:tcPr>
          <w:bookmarkEnd w:id="0"/>
          <w:p w14:paraId="76E5978F" w14:textId="3858ED29" w:rsidR="00A61297" w:rsidRPr="00917013" w:rsidRDefault="00A61297" w:rsidP="003B69C7">
            <w:pPr>
              <w:pStyle w:val="ListParagraph"/>
              <w:jc w:val="center"/>
              <w:rPr>
                <w:b/>
                <w:sz w:val="20"/>
              </w:rPr>
            </w:pPr>
            <w:r w:rsidRPr="00917013">
              <w:rPr>
                <w:b/>
                <w:sz w:val="20"/>
              </w:rPr>
              <w:t>Gráfica 1</w:t>
            </w:r>
            <w:r w:rsidR="00356046">
              <w:rPr>
                <w:b/>
                <w:sz w:val="20"/>
              </w:rPr>
              <w:t>5</w:t>
            </w:r>
            <w:r w:rsidRPr="00917013">
              <w:rPr>
                <w:b/>
                <w:sz w:val="20"/>
              </w:rPr>
              <w:t xml:space="preserve">. </w:t>
            </w:r>
            <w:r w:rsidR="00543D76">
              <w:rPr>
                <w:b/>
                <w:sz w:val="20"/>
              </w:rPr>
              <w:t>Posición</w:t>
            </w:r>
            <w:r w:rsidRPr="00917013">
              <w:rPr>
                <w:b/>
                <w:sz w:val="20"/>
              </w:rPr>
              <w:t xml:space="preserve"> de programas de la UNAM </w:t>
            </w:r>
            <w:r w:rsidR="003B69C7" w:rsidRPr="00917013">
              <w:rPr>
                <w:b/>
                <w:sz w:val="20"/>
              </w:rPr>
              <w:t xml:space="preserve">clasificados </w:t>
            </w:r>
            <w:r w:rsidRPr="00917013">
              <w:rPr>
                <w:b/>
                <w:sz w:val="20"/>
              </w:rPr>
              <w:t xml:space="preserve">en el </w:t>
            </w:r>
            <w:r w:rsidR="00A26CAF"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ranking Reforma “Las Mejores Universidades”</w:t>
            </w:r>
            <w:r w:rsidRPr="00917013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, 2019-2021.</w:t>
            </w:r>
          </w:p>
        </w:tc>
      </w:tr>
      <w:tr w:rsidR="00A61297" w:rsidRPr="00917013" w14:paraId="3A41046F" w14:textId="77777777" w:rsidTr="003B69C7">
        <w:tblPrEx>
          <w:tblCellMar>
            <w:left w:w="70" w:type="dxa"/>
            <w:right w:w="70" w:type="dxa"/>
          </w:tblCellMar>
        </w:tblPrEx>
        <w:trPr>
          <w:trHeight w:val="439"/>
          <w:jc w:val="center"/>
        </w:trPr>
        <w:tc>
          <w:tcPr>
            <w:tcW w:w="12112" w:type="dxa"/>
            <w:vAlign w:val="center"/>
          </w:tcPr>
          <w:p w14:paraId="17C6A1FC" w14:textId="3485EC92" w:rsidR="00A61297" w:rsidRPr="00917013" w:rsidRDefault="003B69C7" w:rsidP="005569C5">
            <w:pPr>
              <w:jc w:val="center"/>
            </w:pPr>
            <w:r w:rsidRPr="00917013">
              <w:rPr>
                <w:noProof/>
              </w:rPr>
              <w:drawing>
                <wp:inline distT="0" distB="0" distL="0" distR="0" wp14:anchorId="10D15A7C" wp14:editId="6CA27852">
                  <wp:extent cx="7199630" cy="1440000"/>
                  <wp:effectExtent l="0" t="0" r="1270" b="8255"/>
                  <wp:docPr id="8" name="Gráfico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AA3A78-288C-4FEC-A429-285A4486FD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B69C7" w:rsidRPr="00917013" w14:paraId="0E6A6410" w14:textId="77777777" w:rsidTr="003B69C7">
        <w:tblPrEx>
          <w:tblCellMar>
            <w:left w:w="70" w:type="dxa"/>
            <w:right w:w="70" w:type="dxa"/>
          </w:tblCellMar>
        </w:tblPrEx>
        <w:trPr>
          <w:trHeight w:val="439"/>
          <w:jc w:val="center"/>
        </w:trPr>
        <w:tc>
          <w:tcPr>
            <w:tcW w:w="12112" w:type="dxa"/>
            <w:vAlign w:val="center"/>
          </w:tcPr>
          <w:p w14:paraId="6C26251B" w14:textId="1227E1A5" w:rsidR="003B69C7" w:rsidRPr="00917013" w:rsidRDefault="003B69C7" w:rsidP="005569C5">
            <w:pPr>
              <w:jc w:val="center"/>
            </w:pPr>
            <w:r w:rsidRPr="00917013">
              <w:rPr>
                <w:noProof/>
              </w:rPr>
              <w:drawing>
                <wp:inline distT="0" distB="0" distL="0" distR="0" wp14:anchorId="1F082A1F" wp14:editId="76C8C867">
                  <wp:extent cx="7292975" cy="1440000"/>
                  <wp:effectExtent l="0" t="0" r="3175" b="8255"/>
                  <wp:docPr id="9" name="Gráfico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F8C4DC-0359-4F31-9DFC-3B50572A90C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0DCAA179" w14:textId="53A62E2C" w:rsidR="00A61297" w:rsidRPr="00917013" w:rsidRDefault="00A61297" w:rsidP="00A61297">
      <w:pPr>
        <w:spacing w:after="0" w:line="240" w:lineRule="auto"/>
        <w:rPr>
          <w:b/>
          <w:bCs/>
          <w:sz w:val="24"/>
          <w:szCs w:val="24"/>
        </w:rPr>
      </w:pPr>
      <w:r w:rsidRPr="00917013">
        <w:rPr>
          <w:b/>
          <w:bCs/>
          <w:sz w:val="24"/>
          <w:szCs w:val="24"/>
        </w:rPr>
        <w:t>Conclusiones</w:t>
      </w:r>
    </w:p>
    <w:p w14:paraId="31A150B6" w14:textId="77777777" w:rsidR="00A61297" w:rsidRPr="00917013" w:rsidRDefault="00A61297" w:rsidP="00A61297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5DFA861B" w14:textId="77B45429" w:rsidR="002823B2" w:rsidRDefault="005B3C04" w:rsidP="002823B2">
      <w:pPr>
        <w:pStyle w:val="ListParagraph"/>
        <w:numPr>
          <w:ilvl w:val="0"/>
          <w:numId w:val="14"/>
        </w:numPr>
        <w:jc w:val="both"/>
        <w:rPr>
          <w:sz w:val="24"/>
        </w:rPr>
      </w:pPr>
      <w:r w:rsidRPr="00917013">
        <w:rPr>
          <w:sz w:val="24"/>
          <w:szCs w:val="24"/>
        </w:rPr>
        <w:t xml:space="preserve">El ranking Reforma “Las Mejores Universidades” </w:t>
      </w:r>
      <w:r w:rsidR="00FB1A68" w:rsidRPr="00917013">
        <w:rPr>
          <w:sz w:val="24"/>
          <w:szCs w:val="24"/>
        </w:rPr>
        <w:t xml:space="preserve">clasificó a </w:t>
      </w:r>
      <w:r w:rsidR="002823B2">
        <w:rPr>
          <w:sz w:val="24"/>
          <w:szCs w:val="24"/>
        </w:rPr>
        <w:t>44</w:t>
      </w:r>
      <w:r w:rsidR="00FB1A68" w:rsidRPr="00917013">
        <w:rPr>
          <w:sz w:val="24"/>
          <w:szCs w:val="24"/>
        </w:rPr>
        <w:t xml:space="preserve"> universidades en al menos </w:t>
      </w:r>
      <w:r w:rsidR="00FB1A68" w:rsidRPr="002823B2">
        <w:rPr>
          <w:sz w:val="24"/>
        </w:rPr>
        <w:t>un</w:t>
      </w:r>
      <w:r w:rsidR="00FB1A68" w:rsidRPr="00917013">
        <w:rPr>
          <w:sz w:val="24"/>
          <w:szCs w:val="24"/>
        </w:rPr>
        <w:t xml:space="preserve"> programa de licenciatura. </w:t>
      </w:r>
      <w:r w:rsidR="002823B2">
        <w:rPr>
          <w:sz w:val="24"/>
          <w:szCs w:val="24"/>
        </w:rPr>
        <w:t xml:space="preserve">Sin embargo, </w:t>
      </w:r>
      <w:r w:rsidR="002823B2">
        <w:rPr>
          <w:sz w:val="24"/>
        </w:rPr>
        <w:t>para este a</w:t>
      </w:r>
      <w:r w:rsidR="002823B2" w:rsidRPr="00580254">
        <w:rPr>
          <w:sz w:val="24"/>
        </w:rPr>
        <w:t xml:space="preserve">nálisis </w:t>
      </w:r>
      <w:r w:rsidR="002823B2" w:rsidRPr="002F543C">
        <w:rPr>
          <w:sz w:val="24"/>
        </w:rPr>
        <w:t xml:space="preserve">general </w:t>
      </w:r>
      <w:r w:rsidR="002823B2" w:rsidRPr="00580254">
        <w:rPr>
          <w:sz w:val="24"/>
        </w:rPr>
        <w:t xml:space="preserve">solo </w:t>
      </w:r>
      <w:r w:rsidR="002823B2">
        <w:rPr>
          <w:sz w:val="24"/>
        </w:rPr>
        <w:t>tomaron en cuenta 35 universidades que participaron en los mismos programas que</w:t>
      </w:r>
      <w:r w:rsidR="002823B2" w:rsidRPr="00580254">
        <w:rPr>
          <w:sz w:val="24"/>
        </w:rPr>
        <w:t xml:space="preserve"> la UNAM</w:t>
      </w:r>
      <w:r w:rsidR="002823B2">
        <w:rPr>
          <w:sz w:val="24"/>
        </w:rPr>
        <w:t>.</w:t>
      </w:r>
    </w:p>
    <w:p w14:paraId="548D139A" w14:textId="6EF7A088" w:rsidR="002823B2" w:rsidRDefault="002823B2" w:rsidP="002823B2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4F2B06C2" w14:textId="3979CED7" w:rsidR="00497AD1" w:rsidRPr="00917013" w:rsidRDefault="009A562A" w:rsidP="005569C5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CB15A1" w:rsidRPr="00917013">
        <w:rPr>
          <w:sz w:val="24"/>
          <w:szCs w:val="24"/>
        </w:rPr>
        <w:t>as carreras de Psicología y Medicina</w:t>
      </w:r>
      <w:r w:rsidR="00CB15A1" w:rsidRPr="00917013">
        <w:rPr>
          <w:sz w:val="24"/>
        </w:rPr>
        <w:t xml:space="preserve"> </w:t>
      </w:r>
      <w:r w:rsidR="00370FB5">
        <w:rPr>
          <w:sz w:val="24"/>
        </w:rPr>
        <w:t xml:space="preserve">ofertadas en la UNAM </w:t>
      </w:r>
      <w:r w:rsidR="00CB15A1" w:rsidRPr="00917013">
        <w:rPr>
          <w:sz w:val="24"/>
        </w:rPr>
        <w:t xml:space="preserve">fueron clasificadas en el </w:t>
      </w:r>
      <w:r w:rsidR="005B3C04" w:rsidRPr="00917013">
        <w:rPr>
          <w:sz w:val="24"/>
        </w:rPr>
        <w:t xml:space="preserve">1º lugar </w:t>
      </w:r>
      <w:r w:rsidR="00CB15A1" w:rsidRPr="00917013">
        <w:rPr>
          <w:sz w:val="24"/>
        </w:rPr>
        <w:t xml:space="preserve">con un puntaje de 9.11 y 9.10 respectivamente. </w:t>
      </w:r>
    </w:p>
    <w:p w14:paraId="787CF2A7" w14:textId="609EF56A" w:rsidR="00CB15A1" w:rsidRDefault="00CB15A1" w:rsidP="00CB15A1">
      <w:pPr>
        <w:pStyle w:val="ListParagraph"/>
        <w:jc w:val="both"/>
        <w:rPr>
          <w:sz w:val="24"/>
          <w:szCs w:val="24"/>
        </w:rPr>
      </w:pPr>
    </w:p>
    <w:p w14:paraId="2E014AF2" w14:textId="68554258" w:rsidR="00CB15A1" w:rsidRPr="00917013" w:rsidRDefault="00CB15A1" w:rsidP="005569C5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917013">
        <w:rPr>
          <w:sz w:val="24"/>
        </w:rPr>
        <w:t>Aunque la carrera de Derecho fue clasificada en el 2º lugar</w:t>
      </w:r>
      <w:r w:rsidR="000568CE" w:rsidRPr="00917013">
        <w:rPr>
          <w:sz w:val="24"/>
        </w:rPr>
        <w:t xml:space="preserve">, es importante </w:t>
      </w:r>
      <w:r w:rsidR="00C76C79" w:rsidRPr="00917013">
        <w:rPr>
          <w:sz w:val="24"/>
        </w:rPr>
        <w:t xml:space="preserve">resaltar </w:t>
      </w:r>
      <w:r w:rsidR="000568CE" w:rsidRPr="00917013">
        <w:rPr>
          <w:sz w:val="24"/>
        </w:rPr>
        <w:t>su desempeño</w:t>
      </w:r>
      <w:r w:rsidR="005B3C04" w:rsidRPr="00917013">
        <w:rPr>
          <w:sz w:val="24"/>
        </w:rPr>
        <w:t xml:space="preserve"> al obtener 9.14 puntos de 10 posibles, siendo el </w:t>
      </w:r>
      <w:r w:rsidR="000568CE" w:rsidRPr="00917013">
        <w:rPr>
          <w:sz w:val="24"/>
        </w:rPr>
        <w:t xml:space="preserve">programa </w:t>
      </w:r>
      <w:r w:rsidR="005B3C04" w:rsidRPr="00917013">
        <w:rPr>
          <w:sz w:val="24"/>
        </w:rPr>
        <w:t xml:space="preserve">de la UNAM con el mayor </w:t>
      </w:r>
      <w:r w:rsidR="000568CE" w:rsidRPr="00917013">
        <w:rPr>
          <w:sz w:val="24"/>
        </w:rPr>
        <w:t xml:space="preserve">puntaje </w:t>
      </w:r>
      <w:r w:rsidR="005B3C04" w:rsidRPr="00917013">
        <w:rPr>
          <w:sz w:val="24"/>
        </w:rPr>
        <w:t xml:space="preserve">de acuerdo con </w:t>
      </w:r>
      <w:r w:rsidR="000568CE" w:rsidRPr="00917013">
        <w:rPr>
          <w:sz w:val="24"/>
        </w:rPr>
        <w:t>la opinión de los empleadores.</w:t>
      </w:r>
    </w:p>
    <w:p w14:paraId="31B23FA7" w14:textId="77777777" w:rsidR="00CB15A1" w:rsidRPr="00917013" w:rsidRDefault="00CB15A1" w:rsidP="00CB15A1">
      <w:pPr>
        <w:pStyle w:val="ListParagraph"/>
        <w:rPr>
          <w:sz w:val="24"/>
          <w:szCs w:val="24"/>
        </w:rPr>
      </w:pPr>
    </w:p>
    <w:p w14:paraId="0378F322" w14:textId="02B21AD6" w:rsidR="008712B8" w:rsidRPr="00917013" w:rsidRDefault="008712B8" w:rsidP="008712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17013">
        <w:rPr>
          <w:sz w:val="24"/>
          <w:szCs w:val="24"/>
        </w:rPr>
        <w:t>Finalmente</w:t>
      </w:r>
      <w:r w:rsidR="008D733D" w:rsidRPr="00917013">
        <w:rPr>
          <w:sz w:val="24"/>
          <w:szCs w:val="24"/>
        </w:rPr>
        <w:t xml:space="preserve">, </w:t>
      </w:r>
      <w:r w:rsidRPr="00917013">
        <w:rPr>
          <w:sz w:val="24"/>
          <w:szCs w:val="24"/>
        </w:rPr>
        <w:t xml:space="preserve">al comparar </w:t>
      </w:r>
      <w:r w:rsidR="008D733D" w:rsidRPr="00917013">
        <w:rPr>
          <w:sz w:val="24"/>
          <w:szCs w:val="24"/>
        </w:rPr>
        <w:t xml:space="preserve">el desempeño </w:t>
      </w:r>
      <w:r w:rsidRPr="00917013">
        <w:rPr>
          <w:sz w:val="24"/>
          <w:szCs w:val="24"/>
        </w:rPr>
        <w:t xml:space="preserve">de cada una de las 14 disciplinas en las que participó </w:t>
      </w:r>
      <w:r w:rsidR="008D733D" w:rsidRPr="00917013">
        <w:rPr>
          <w:sz w:val="24"/>
          <w:szCs w:val="24"/>
        </w:rPr>
        <w:t>la UNAM</w:t>
      </w:r>
      <w:r w:rsidRPr="00917013">
        <w:rPr>
          <w:sz w:val="24"/>
          <w:szCs w:val="24"/>
        </w:rPr>
        <w:t xml:space="preserve"> con respecto a la edición </w:t>
      </w:r>
      <w:r w:rsidR="00F246EE" w:rsidRPr="00917013">
        <w:rPr>
          <w:sz w:val="24"/>
          <w:szCs w:val="24"/>
        </w:rPr>
        <w:t>pasada</w:t>
      </w:r>
      <w:r w:rsidR="008D733D" w:rsidRPr="00917013">
        <w:rPr>
          <w:sz w:val="24"/>
          <w:szCs w:val="24"/>
        </w:rPr>
        <w:t xml:space="preserve">, podemos observar que se </w:t>
      </w:r>
      <w:r w:rsidRPr="00917013">
        <w:rPr>
          <w:sz w:val="24"/>
          <w:szCs w:val="24"/>
        </w:rPr>
        <w:t xml:space="preserve">mantuvo el 1º lugar en la carrera de Psicología, y se presentó un </w:t>
      </w:r>
      <w:r w:rsidR="008D733D" w:rsidRPr="00917013">
        <w:rPr>
          <w:sz w:val="24"/>
          <w:szCs w:val="24"/>
        </w:rPr>
        <w:t xml:space="preserve">crecimiento en </w:t>
      </w:r>
      <w:r w:rsidRPr="00917013">
        <w:rPr>
          <w:sz w:val="24"/>
          <w:szCs w:val="24"/>
        </w:rPr>
        <w:t>6 programas de licenciatura</w:t>
      </w:r>
      <w:r w:rsidR="008D733D" w:rsidRPr="00917013">
        <w:rPr>
          <w:sz w:val="24"/>
          <w:szCs w:val="24"/>
        </w:rPr>
        <w:t xml:space="preserve">. Sin embargo, </w:t>
      </w:r>
      <w:r w:rsidR="008D733D" w:rsidRPr="00917013">
        <w:rPr>
          <w:sz w:val="24"/>
        </w:rPr>
        <w:t xml:space="preserve">en el </w:t>
      </w:r>
      <w:r w:rsidRPr="00917013">
        <w:rPr>
          <w:sz w:val="24"/>
        </w:rPr>
        <w:t xml:space="preserve">resto de los programas hubo un ligero decremento en las posiciones que </w:t>
      </w:r>
      <w:r w:rsidR="00F246EE" w:rsidRPr="00917013">
        <w:rPr>
          <w:sz w:val="24"/>
        </w:rPr>
        <w:t xml:space="preserve">oscilo </w:t>
      </w:r>
      <w:r w:rsidRPr="00917013">
        <w:rPr>
          <w:sz w:val="24"/>
        </w:rPr>
        <w:t>entre 1 y 2 lugares.</w:t>
      </w:r>
    </w:p>
    <w:sectPr w:rsidR="008712B8" w:rsidRPr="00917013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0773C" w14:textId="77777777" w:rsidR="005756EC" w:rsidRDefault="005756EC" w:rsidP="00C41170">
      <w:pPr>
        <w:spacing w:after="0" w:line="240" w:lineRule="auto"/>
      </w:pPr>
      <w:r>
        <w:separator/>
      </w:r>
    </w:p>
  </w:endnote>
  <w:endnote w:type="continuationSeparator" w:id="0">
    <w:p w14:paraId="31EAC6E0" w14:textId="77777777" w:rsidR="005756EC" w:rsidRDefault="005756EC" w:rsidP="00C4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1266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4459F" w14:textId="72AF4299" w:rsidR="0094777C" w:rsidRDefault="009477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F6CF42" w14:textId="77777777" w:rsidR="0094777C" w:rsidRDefault="00947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4DEA0" w14:textId="77777777" w:rsidR="005756EC" w:rsidRDefault="005756EC" w:rsidP="00C41170">
      <w:pPr>
        <w:spacing w:after="0" w:line="240" w:lineRule="auto"/>
      </w:pPr>
      <w:r>
        <w:separator/>
      </w:r>
    </w:p>
  </w:footnote>
  <w:footnote w:type="continuationSeparator" w:id="0">
    <w:p w14:paraId="7A1FAEAC" w14:textId="77777777" w:rsidR="005756EC" w:rsidRDefault="005756EC" w:rsidP="00C41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0DE4"/>
    <w:multiLevelType w:val="hybridMultilevel"/>
    <w:tmpl w:val="7D384278"/>
    <w:lvl w:ilvl="0" w:tplc="3AD8C7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38C8"/>
    <w:multiLevelType w:val="hybridMultilevel"/>
    <w:tmpl w:val="CAFA8CDA"/>
    <w:lvl w:ilvl="0" w:tplc="0F3CAC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6103"/>
    <w:multiLevelType w:val="hybridMultilevel"/>
    <w:tmpl w:val="F1E213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B7B5C"/>
    <w:multiLevelType w:val="hybridMultilevel"/>
    <w:tmpl w:val="77F8E01A"/>
    <w:lvl w:ilvl="0" w:tplc="03702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A369B"/>
    <w:multiLevelType w:val="hybridMultilevel"/>
    <w:tmpl w:val="25045CEA"/>
    <w:lvl w:ilvl="0" w:tplc="72083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977F0"/>
    <w:multiLevelType w:val="hybridMultilevel"/>
    <w:tmpl w:val="EB00DBDC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6454369"/>
    <w:multiLevelType w:val="hybridMultilevel"/>
    <w:tmpl w:val="A516CD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F36934"/>
    <w:multiLevelType w:val="hybridMultilevel"/>
    <w:tmpl w:val="91D89B0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E268BD"/>
    <w:multiLevelType w:val="hybridMultilevel"/>
    <w:tmpl w:val="45DA233C"/>
    <w:lvl w:ilvl="0" w:tplc="3AD8C7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E26FC"/>
    <w:multiLevelType w:val="hybridMultilevel"/>
    <w:tmpl w:val="D34E0DE6"/>
    <w:lvl w:ilvl="0" w:tplc="3AD8C7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B6754"/>
    <w:multiLevelType w:val="hybridMultilevel"/>
    <w:tmpl w:val="F1E213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71206"/>
    <w:multiLevelType w:val="hybridMultilevel"/>
    <w:tmpl w:val="36E2E1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84BD2"/>
    <w:multiLevelType w:val="hybridMultilevel"/>
    <w:tmpl w:val="DCA075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124999"/>
    <w:multiLevelType w:val="hybridMultilevel"/>
    <w:tmpl w:val="D8245F7C"/>
    <w:lvl w:ilvl="0" w:tplc="3AD8C7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205B3"/>
    <w:multiLevelType w:val="hybridMultilevel"/>
    <w:tmpl w:val="93A21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7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3"/>
  </w:num>
  <w:num w:numId="10">
    <w:abstractNumId w:val="14"/>
  </w:num>
  <w:num w:numId="11">
    <w:abstractNumId w:val="8"/>
  </w:num>
  <w:num w:numId="12">
    <w:abstractNumId w:val="9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87"/>
    <w:rsid w:val="00005F29"/>
    <w:rsid w:val="00016CAE"/>
    <w:rsid w:val="0002187F"/>
    <w:rsid w:val="00026805"/>
    <w:rsid w:val="00026EBB"/>
    <w:rsid w:val="00034688"/>
    <w:rsid w:val="0004030C"/>
    <w:rsid w:val="000568CE"/>
    <w:rsid w:val="00061608"/>
    <w:rsid w:val="000619C0"/>
    <w:rsid w:val="00072ABC"/>
    <w:rsid w:val="00076FB3"/>
    <w:rsid w:val="00077CF2"/>
    <w:rsid w:val="0008333D"/>
    <w:rsid w:val="00085B6D"/>
    <w:rsid w:val="000860EE"/>
    <w:rsid w:val="00086F38"/>
    <w:rsid w:val="00095E29"/>
    <w:rsid w:val="000A62C9"/>
    <w:rsid w:val="000B0C2E"/>
    <w:rsid w:val="000B3CEF"/>
    <w:rsid w:val="000B6B7A"/>
    <w:rsid w:val="000C31EF"/>
    <w:rsid w:val="000C3D13"/>
    <w:rsid w:val="000C6A1B"/>
    <w:rsid w:val="000D0015"/>
    <w:rsid w:val="000D53D5"/>
    <w:rsid w:val="000E3D1A"/>
    <w:rsid w:val="000E4209"/>
    <w:rsid w:val="000E5282"/>
    <w:rsid w:val="000F1CF4"/>
    <w:rsid w:val="000F2BE4"/>
    <w:rsid w:val="000F2D7F"/>
    <w:rsid w:val="000F3986"/>
    <w:rsid w:val="00110C90"/>
    <w:rsid w:val="0011544E"/>
    <w:rsid w:val="00121ECB"/>
    <w:rsid w:val="0012666B"/>
    <w:rsid w:val="0012704B"/>
    <w:rsid w:val="0013026D"/>
    <w:rsid w:val="00135B1D"/>
    <w:rsid w:val="00141696"/>
    <w:rsid w:val="001511A2"/>
    <w:rsid w:val="00153D36"/>
    <w:rsid w:val="00162FFD"/>
    <w:rsid w:val="00165A5B"/>
    <w:rsid w:val="00165A89"/>
    <w:rsid w:val="00165DEA"/>
    <w:rsid w:val="00166666"/>
    <w:rsid w:val="00174241"/>
    <w:rsid w:val="0017723B"/>
    <w:rsid w:val="00181E99"/>
    <w:rsid w:val="001836A9"/>
    <w:rsid w:val="00184686"/>
    <w:rsid w:val="00197A7C"/>
    <w:rsid w:val="001A286B"/>
    <w:rsid w:val="001A4767"/>
    <w:rsid w:val="001A6B42"/>
    <w:rsid w:val="001B2BCB"/>
    <w:rsid w:val="001B3443"/>
    <w:rsid w:val="001B69BB"/>
    <w:rsid w:val="001C3A90"/>
    <w:rsid w:val="001C6708"/>
    <w:rsid w:val="001C74C7"/>
    <w:rsid w:val="001C766C"/>
    <w:rsid w:val="001D0A65"/>
    <w:rsid w:val="001D1104"/>
    <w:rsid w:val="001D1F74"/>
    <w:rsid w:val="001D43E1"/>
    <w:rsid w:val="001D4BB6"/>
    <w:rsid w:val="001D501D"/>
    <w:rsid w:val="001D5EBD"/>
    <w:rsid w:val="001E7C07"/>
    <w:rsid w:val="001F2241"/>
    <w:rsid w:val="001F34B2"/>
    <w:rsid w:val="001F507B"/>
    <w:rsid w:val="001F5E33"/>
    <w:rsid w:val="00200691"/>
    <w:rsid w:val="00201722"/>
    <w:rsid w:val="00203F2C"/>
    <w:rsid w:val="002060D6"/>
    <w:rsid w:val="00210788"/>
    <w:rsid w:val="0021323D"/>
    <w:rsid w:val="00213C04"/>
    <w:rsid w:val="00220C16"/>
    <w:rsid w:val="0022598D"/>
    <w:rsid w:val="0023201C"/>
    <w:rsid w:val="00233151"/>
    <w:rsid w:val="00234D0C"/>
    <w:rsid w:val="00241086"/>
    <w:rsid w:val="00243FAE"/>
    <w:rsid w:val="00245DE0"/>
    <w:rsid w:val="00245EE0"/>
    <w:rsid w:val="00256D1C"/>
    <w:rsid w:val="00281678"/>
    <w:rsid w:val="002823B2"/>
    <w:rsid w:val="00283B70"/>
    <w:rsid w:val="00284E69"/>
    <w:rsid w:val="00286835"/>
    <w:rsid w:val="00290141"/>
    <w:rsid w:val="00291132"/>
    <w:rsid w:val="002938AF"/>
    <w:rsid w:val="002A4FC2"/>
    <w:rsid w:val="002A7AD8"/>
    <w:rsid w:val="002B25F8"/>
    <w:rsid w:val="002B705F"/>
    <w:rsid w:val="002C2928"/>
    <w:rsid w:val="002D0EE5"/>
    <w:rsid w:val="002D2258"/>
    <w:rsid w:val="002D388E"/>
    <w:rsid w:val="002E342B"/>
    <w:rsid w:val="002E496D"/>
    <w:rsid w:val="002E7104"/>
    <w:rsid w:val="002F18CE"/>
    <w:rsid w:val="002F543C"/>
    <w:rsid w:val="002F62AE"/>
    <w:rsid w:val="00301AA8"/>
    <w:rsid w:val="00301FFD"/>
    <w:rsid w:val="00306D26"/>
    <w:rsid w:val="00306E8C"/>
    <w:rsid w:val="003078EF"/>
    <w:rsid w:val="00310976"/>
    <w:rsid w:val="0031474A"/>
    <w:rsid w:val="003201C2"/>
    <w:rsid w:val="00320A0B"/>
    <w:rsid w:val="00320F08"/>
    <w:rsid w:val="00323321"/>
    <w:rsid w:val="00324AC0"/>
    <w:rsid w:val="0032598E"/>
    <w:rsid w:val="00331DB4"/>
    <w:rsid w:val="00332E18"/>
    <w:rsid w:val="003443DD"/>
    <w:rsid w:val="00344794"/>
    <w:rsid w:val="00345F58"/>
    <w:rsid w:val="00346609"/>
    <w:rsid w:val="003476EF"/>
    <w:rsid w:val="003547B8"/>
    <w:rsid w:val="00356046"/>
    <w:rsid w:val="003675CD"/>
    <w:rsid w:val="0037059A"/>
    <w:rsid w:val="00370FB5"/>
    <w:rsid w:val="00380E4F"/>
    <w:rsid w:val="00386B4A"/>
    <w:rsid w:val="00390121"/>
    <w:rsid w:val="00390DBB"/>
    <w:rsid w:val="00397E44"/>
    <w:rsid w:val="003B254C"/>
    <w:rsid w:val="003B69C7"/>
    <w:rsid w:val="003C078B"/>
    <w:rsid w:val="003C102E"/>
    <w:rsid w:val="003C29BE"/>
    <w:rsid w:val="003C3D55"/>
    <w:rsid w:val="003C563C"/>
    <w:rsid w:val="003C5EAA"/>
    <w:rsid w:val="003C71DE"/>
    <w:rsid w:val="003D0D3A"/>
    <w:rsid w:val="003D6FF8"/>
    <w:rsid w:val="003D76D9"/>
    <w:rsid w:val="003E153B"/>
    <w:rsid w:val="003E16DB"/>
    <w:rsid w:val="003E1861"/>
    <w:rsid w:val="003E2616"/>
    <w:rsid w:val="003E5A44"/>
    <w:rsid w:val="003F1D66"/>
    <w:rsid w:val="003F49B2"/>
    <w:rsid w:val="003F643E"/>
    <w:rsid w:val="003F6DF0"/>
    <w:rsid w:val="003F7797"/>
    <w:rsid w:val="00400C3E"/>
    <w:rsid w:val="00401088"/>
    <w:rsid w:val="0040212E"/>
    <w:rsid w:val="004025FB"/>
    <w:rsid w:val="00403EA2"/>
    <w:rsid w:val="00404CC3"/>
    <w:rsid w:val="004052AE"/>
    <w:rsid w:val="00406263"/>
    <w:rsid w:val="00407940"/>
    <w:rsid w:val="00415337"/>
    <w:rsid w:val="0041702D"/>
    <w:rsid w:val="00421599"/>
    <w:rsid w:val="0042525A"/>
    <w:rsid w:val="0043120E"/>
    <w:rsid w:val="004333C9"/>
    <w:rsid w:val="00434A8E"/>
    <w:rsid w:val="004428C5"/>
    <w:rsid w:val="00445DC6"/>
    <w:rsid w:val="00450CB1"/>
    <w:rsid w:val="00452EC5"/>
    <w:rsid w:val="0045419E"/>
    <w:rsid w:val="0046062C"/>
    <w:rsid w:val="004635F3"/>
    <w:rsid w:val="00463E9C"/>
    <w:rsid w:val="00464092"/>
    <w:rsid w:val="004762B8"/>
    <w:rsid w:val="004771F6"/>
    <w:rsid w:val="00477856"/>
    <w:rsid w:val="0048308A"/>
    <w:rsid w:val="00483093"/>
    <w:rsid w:val="004833FB"/>
    <w:rsid w:val="00486E1B"/>
    <w:rsid w:val="00497AD1"/>
    <w:rsid w:val="004A0BCC"/>
    <w:rsid w:val="004A5B5A"/>
    <w:rsid w:val="004A7224"/>
    <w:rsid w:val="004B11C6"/>
    <w:rsid w:val="004B43A5"/>
    <w:rsid w:val="004B4A0F"/>
    <w:rsid w:val="004B5415"/>
    <w:rsid w:val="004C02E2"/>
    <w:rsid w:val="004C4F5D"/>
    <w:rsid w:val="004C503B"/>
    <w:rsid w:val="004C5FAD"/>
    <w:rsid w:val="004C60B1"/>
    <w:rsid w:val="004D40DA"/>
    <w:rsid w:val="004D4859"/>
    <w:rsid w:val="004D7EF7"/>
    <w:rsid w:val="004F61D3"/>
    <w:rsid w:val="005001B4"/>
    <w:rsid w:val="00501E62"/>
    <w:rsid w:val="005126DF"/>
    <w:rsid w:val="005128C4"/>
    <w:rsid w:val="00513426"/>
    <w:rsid w:val="00516B87"/>
    <w:rsid w:val="0052065E"/>
    <w:rsid w:val="0053434F"/>
    <w:rsid w:val="005427A3"/>
    <w:rsid w:val="0054305B"/>
    <w:rsid w:val="00543340"/>
    <w:rsid w:val="00543D76"/>
    <w:rsid w:val="00547F69"/>
    <w:rsid w:val="00550305"/>
    <w:rsid w:val="00552BD9"/>
    <w:rsid w:val="005569C5"/>
    <w:rsid w:val="005612C8"/>
    <w:rsid w:val="00562E0C"/>
    <w:rsid w:val="00567A85"/>
    <w:rsid w:val="00573E61"/>
    <w:rsid w:val="005756EC"/>
    <w:rsid w:val="00575789"/>
    <w:rsid w:val="00580254"/>
    <w:rsid w:val="005A47D8"/>
    <w:rsid w:val="005A73F3"/>
    <w:rsid w:val="005B38C6"/>
    <w:rsid w:val="005B3C04"/>
    <w:rsid w:val="005B79EA"/>
    <w:rsid w:val="005C563E"/>
    <w:rsid w:val="005D0573"/>
    <w:rsid w:val="005D5040"/>
    <w:rsid w:val="005D6A43"/>
    <w:rsid w:val="005E02C6"/>
    <w:rsid w:val="005E5DB3"/>
    <w:rsid w:val="005F11FC"/>
    <w:rsid w:val="005F1FE4"/>
    <w:rsid w:val="005F4AAF"/>
    <w:rsid w:val="00600680"/>
    <w:rsid w:val="00601117"/>
    <w:rsid w:val="00602782"/>
    <w:rsid w:val="0060365B"/>
    <w:rsid w:val="0060637A"/>
    <w:rsid w:val="00613DC2"/>
    <w:rsid w:val="00613F2D"/>
    <w:rsid w:val="00615D77"/>
    <w:rsid w:val="00625236"/>
    <w:rsid w:val="0063222F"/>
    <w:rsid w:val="00633C9B"/>
    <w:rsid w:val="006355D9"/>
    <w:rsid w:val="006420C6"/>
    <w:rsid w:val="00645B04"/>
    <w:rsid w:val="00652FD6"/>
    <w:rsid w:val="0066477B"/>
    <w:rsid w:val="00667BAE"/>
    <w:rsid w:val="00667E6C"/>
    <w:rsid w:val="00670550"/>
    <w:rsid w:val="006736A3"/>
    <w:rsid w:val="006737FF"/>
    <w:rsid w:val="0067403C"/>
    <w:rsid w:val="00681065"/>
    <w:rsid w:val="006A60F4"/>
    <w:rsid w:val="006A6F9B"/>
    <w:rsid w:val="006B05EF"/>
    <w:rsid w:val="006C06E9"/>
    <w:rsid w:val="006C4AFE"/>
    <w:rsid w:val="006C7BE7"/>
    <w:rsid w:val="006D2E14"/>
    <w:rsid w:val="006D6FD4"/>
    <w:rsid w:val="006E0869"/>
    <w:rsid w:val="006F279A"/>
    <w:rsid w:val="006F4049"/>
    <w:rsid w:val="006F4917"/>
    <w:rsid w:val="00702E32"/>
    <w:rsid w:val="00706A52"/>
    <w:rsid w:val="007135A8"/>
    <w:rsid w:val="007174FE"/>
    <w:rsid w:val="007202D4"/>
    <w:rsid w:val="007205DA"/>
    <w:rsid w:val="00722D0E"/>
    <w:rsid w:val="00723E2E"/>
    <w:rsid w:val="00733611"/>
    <w:rsid w:val="00734466"/>
    <w:rsid w:val="007422A9"/>
    <w:rsid w:val="00744819"/>
    <w:rsid w:val="00754BE1"/>
    <w:rsid w:val="00757477"/>
    <w:rsid w:val="00760F5D"/>
    <w:rsid w:val="007645C7"/>
    <w:rsid w:val="00764C31"/>
    <w:rsid w:val="007669F4"/>
    <w:rsid w:val="00771B18"/>
    <w:rsid w:val="00776C1B"/>
    <w:rsid w:val="007774FE"/>
    <w:rsid w:val="0079092E"/>
    <w:rsid w:val="007919C3"/>
    <w:rsid w:val="00791CBE"/>
    <w:rsid w:val="00795016"/>
    <w:rsid w:val="00796B30"/>
    <w:rsid w:val="007A0BD1"/>
    <w:rsid w:val="007A22BA"/>
    <w:rsid w:val="007B0F56"/>
    <w:rsid w:val="007B2B33"/>
    <w:rsid w:val="007B4D15"/>
    <w:rsid w:val="007B5DBB"/>
    <w:rsid w:val="007C0EDF"/>
    <w:rsid w:val="007D1993"/>
    <w:rsid w:val="007D346F"/>
    <w:rsid w:val="007E0032"/>
    <w:rsid w:val="007E1981"/>
    <w:rsid w:val="007E580C"/>
    <w:rsid w:val="007F1062"/>
    <w:rsid w:val="007F314F"/>
    <w:rsid w:val="007F3955"/>
    <w:rsid w:val="007F6379"/>
    <w:rsid w:val="007F63EB"/>
    <w:rsid w:val="007F72AE"/>
    <w:rsid w:val="007F746F"/>
    <w:rsid w:val="007F7ECF"/>
    <w:rsid w:val="008005A1"/>
    <w:rsid w:val="008017B3"/>
    <w:rsid w:val="00804247"/>
    <w:rsid w:val="0080512B"/>
    <w:rsid w:val="00807094"/>
    <w:rsid w:val="00810923"/>
    <w:rsid w:val="00814997"/>
    <w:rsid w:val="00815BD9"/>
    <w:rsid w:val="00827621"/>
    <w:rsid w:val="008350DD"/>
    <w:rsid w:val="0083640D"/>
    <w:rsid w:val="00841F3E"/>
    <w:rsid w:val="00843460"/>
    <w:rsid w:val="00846A0A"/>
    <w:rsid w:val="00847983"/>
    <w:rsid w:val="0086322B"/>
    <w:rsid w:val="0086590D"/>
    <w:rsid w:val="008712B8"/>
    <w:rsid w:val="00871ADC"/>
    <w:rsid w:val="008727D9"/>
    <w:rsid w:val="008766BF"/>
    <w:rsid w:val="00876A66"/>
    <w:rsid w:val="008853B0"/>
    <w:rsid w:val="008854CD"/>
    <w:rsid w:val="00885E78"/>
    <w:rsid w:val="008A353D"/>
    <w:rsid w:val="008A5C7D"/>
    <w:rsid w:val="008A69D0"/>
    <w:rsid w:val="008A74A1"/>
    <w:rsid w:val="008B3929"/>
    <w:rsid w:val="008B5123"/>
    <w:rsid w:val="008B786B"/>
    <w:rsid w:val="008B7CA4"/>
    <w:rsid w:val="008C176E"/>
    <w:rsid w:val="008C64C4"/>
    <w:rsid w:val="008D6129"/>
    <w:rsid w:val="008D641C"/>
    <w:rsid w:val="008D733D"/>
    <w:rsid w:val="008E661D"/>
    <w:rsid w:val="008E732A"/>
    <w:rsid w:val="008F2D1A"/>
    <w:rsid w:val="008F50BC"/>
    <w:rsid w:val="008F5BE9"/>
    <w:rsid w:val="00901CAF"/>
    <w:rsid w:val="009020E3"/>
    <w:rsid w:val="00903EBE"/>
    <w:rsid w:val="00906A52"/>
    <w:rsid w:val="00906F52"/>
    <w:rsid w:val="00910E42"/>
    <w:rsid w:val="0091324E"/>
    <w:rsid w:val="00917013"/>
    <w:rsid w:val="00921630"/>
    <w:rsid w:val="009265F9"/>
    <w:rsid w:val="0092677E"/>
    <w:rsid w:val="00927179"/>
    <w:rsid w:val="009304E0"/>
    <w:rsid w:val="00932183"/>
    <w:rsid w:val="00934D73"/>
    <w:rsid w:val="0093632B"/>
    <w:rsid w:val="00944C6D"/>
    <w:rsid w:val="0094777C"/>
    <w:rsid w:val="0095075A"/>
    <w:rsid w:val="00950D2D"/>
    <w:rsid w:val="00954CDE"/>
    <w:rsid w:val="00955161"/>
    <w:rsid w:val="009610F1"/>
    <w:rsid w:val="009636DB"/>
    <w:rsid w:val="00964BE8"/>
    <w:rsid w:val="009705E8"/>
    <w:rsid w:val="00975906"/>
    <w:rsid w:val="0097768D"/>
    <w:rsid w:val="00981BE7"/>
    <w:rsid w:val="00981CD5"/>
    <w:rsid w:val="009857C4"/>
    <w:rsid w:val="009862C8"/>
    <w:rsid w:val="009927F6"/>
    <w:rsid w:val="00995A41"/>
    <w:rsid w:val="009A562A"/>
    <w:rsid w:val="009B0136"/>
    <w:rsid w:val="009B4626"/>
    <w:rsid w:val="009C57BD"/>
    <w:rsid w:val="009D0F5E"/>
    <w:rsid w:val="009D218F"/>
    <w:rsid w:val="009D416B"/>
    <w:rsid w:val="009F4A57"/>
    <w:rsid w:val="009F4FD2"/>
    <w:rsid w:val="009F7EAF"/>
    <w:rsid w:val="00A00676"/>
    <w:rsid w:val="00A04A17"/>
    <w:rsid w:val="00A04ED0"/>
    <w:rsid w:val="00A05CD3"/>
    <w:rsid w:val="00A10130"/>
    <w:rsid w:val="00A1245C"/>
    <w:rsid w:val="00A13717"/>
    <w:rsid w:val="00A14D7C"/>
    <w:rsid w:val="00A17F32"/>
    <w:rsid w:val="00A22CF4"/>
    <w:rsid w:val="00A26CAF"/>
    <w:rsid w:val="00A301BB"/>
    <w:rsid w:val="00A3260D"/>
    <w:rsid w:val="00A33200"/>
    <w:rsid w:val="00A34D61"/>
    <w:rsid w:val="00A45178"/>
    <w:rsid w:val="00A45AC7"/>
    <w:rsid w:val="00A45E8C"/>
    <w:rsid w:val="00A5000B"/>
    <w:rsid w:val="00A52257"/>
    <w:rsid w:val="00A5715F"/>
    <w:rsid w:val="00A57679"/>
    <w:rsid w:val="00A61297"/>
    <w:rsid w:val="00A616F1"/>
    <w:rsid w:val="00A63125"/>
    <w:rsid w:val="00A66A80"/>
    <w:rsid w:val="00A67E41"/>
    <w:rsid w:val="00A70AB7"/>
    <w:rsid w:val="00A71A4C"/>
    <w:rsid w:val="00A7305D"/>
    <w:rsid w:val="00A7509F"/>
    <w:rsid w:val="00A819CB"/>
    <w:rsid w:val="00A8797F"/>
    <w:rsid w:val="00AA080D"/>
    <w:rsid w:val="00AA3BC6"/>
    <w:rsid w:val="00AB0365"/>
    <w:rsid w:val="00AB0508"/>
    <w:rsid w:val="00AB1258"/>
    <w:rsid w:val="00AB136E"/>
    <w:rsid w:val="00AB5D99"/>
    <w:rsid w:val="00AB7217"/>
    <w:rsid w:val="00AC3FEF"/>
    <w:rsid w:val="00AC7460"/>
    <w:rsid w:val="00AD60FF"/>
    <w:rsid w:val="00AE30BD"/>
    <w:rsid w:val="00AE3809"/>
    <w:rsid w:val="00AE3FEE"/>
    <w:rsid w:val="00AE4550"/>
    <w:rsid w:val="00AE5228"/>
    <w:rsid w:val="00AE7143"/>
    <w:rsid w:val="00AF10A3"/>
    <w:rsid w:val="00AF10EF"/>
    <w:rsid w:val="00AF319A"/>
    <w:rsid w:val="00AF3EB1"/>
    <w:rsid w:val="00AF5612"/>
    <w:rsid w:val="00AF5C64"/>
    <w:rsid w:val="00AF725A"/>
    <w:rsid w:val="00AF7885"/>
    <w:rsid w:val="00B00D95"/>
    <w:rsid w:val="00B1058D"/>
    <w:rsid w:val="00B167FE"/>
    <w:rsid w:val="00B16C85"/>
    <w:rsid w:val="00B1709C"/>
    <w:rsid w:val="00B1753B"/>
    <w:rsid w:val="00B21449"/>
    <w:rsid w:val="00B25833"/>
    <w:rsid w:val="00B271CB"/>
    <w:rsid w:val="00B3229A"/>
    <w:rsid w:val="00B33DF2"/>
    <w:rsid w:val="00B36FBB"/>
    <w:rsid w:val="00B5387D"/>
    <w:rsid w:val="00B53A02"/>
    <w:rsid w:val="00B53A4C"/>
    <w:rsid w:val="00B54ABF"/>
    <w:rsid w:val="00B57999"/>
    <w:rsid w:val="00B57FD4"/>
    <w:rsid w:val="00B60353"/>
    <w:rsid w:val="00B6319D"/>
    <w:rsid w:val="00B646E0"/>
    <w:rsid w:val="00B67A66"/>
    <w:rsid w:val="00B71A37"/>
    <w:rsid w:val="00B73E4A"/>
    <w:rsid w:val="00B74898"/>
    <w:rsid w:val="00B779EC"/>
    <w:rsid w:val="00B803E5"/>
    <w:rsid w:val="00B80F2A"/>
    <w:rsid w:val="00B85C3C"/>
    <w:rsid w:val="00B91B09"/>
    <w:rsid w:val="00B97A3A"/>
    <w:rsid w:val="00BA3494"/>
    <w:rsid w:val="00BA6480"/>
    <w:rsid w:val="00BA7D83"/>
    <w:rsid w:val="00BB3985"/>
    <w:rsid w:val="00BB4181"/>
    <w:rsid w:val="00BC2E13"/>
    <w:rsid w:val="00BC5A1E"/>
    <w:rsid w:val="00BC64E4"/>
    <w:rsid w:val="00BC72F7"/>
    <w:rsid w:val="00BE2DF7"/>
    <w:rsid w:val="00BE770F"/>
    <w:rsid w:val="00BE7FB1"/>
    <w:rsid w:val="00BF42C7"/>
    <w:rsid w:val="00BF78B1"/>
    <w:rsid w:val="00C00586"/>
    <w:rsid w:val="00C02CCD"/>
    <w:rsid w:val="00C03A15"/>
    <w:rsid w:val="00C03F4A"/>
    <w:rsid w:val="00C0735B"/>
    <w:rsid w:val="00C1371A"/>
    <w:rsid w:val="00C1687E"/>
    <w:rsid w:val="00C16EB7"/>
    <w:rsid w:val="00C17750"/>
    <w:rsid w:val="00C20F60"/>
    <w:rsid w:val="00C250C4"/>
    <w:rsid w:val="00C2699E"/>
    <w:rsid w:val="00C405A8"/>
    <w:rsid w:val="00C41170"/>
    <w:rsid w:val="00C448F9"/>
    <w:rsid w:val="00C458FD"/>
    <w:rsid w:val="00C45D7A"/>
    <w:rsid w:val="00C625AC"/>
    <w:rsid w:val="00C62A02"/>
    <w:rsid w:val="00C76C79"/>
    <w:rsid w:val="00C856B6"/>
    <w:rsid w:val="00C86ADE"/>
    <w:rsid w:val="00C910A0"/>
    <w:rsid w:val="00C9326D"/>
    <w:rsid w:val="00C96CAA"/>
    <w:rsid w:val="00CA0B0D"/>
    <w:rsid w:val="00CA7F40"/>
    <w:rsid w:val="00CB15A1"/>
    <w:rsid w:val="00CB2823"/>
    <w:rsid w:val="00CB7710"/>
    <w:rsid w:val="00CC019B"/>
    <w:rsid w:val="00CD11F3"/>
    <w:rsid w:val="00CE1B0F"/>
    <w:rsid w:val="00CE1C09"/>
    <w:rsid w:val="00CE331D"/>
    <w:rsid w:val="00CE56C5"/>
    <w:rsid w:val="00CE644D"/>
    <w:rsid w:val="00D0231C"/>
    <w:rsid w:val="00D069A4"/>
    <w:rsid w:val="00D110B7"/>
    <w:rsid w:val="00D13BF5"/>
    <w:rsid w:val="00D22FD6"/>
    <w:rsid w:val="00D2303D"/>
    <w:rsid w:val="00D235E9"/>
    <w:rsid w:val="00D246B5"/>
    <w:rsid w:val="00D43834"/>
    <w:rsid w:val="00D47443"/>
    <w:rsid w:val="00D54E0B"/>
    <w:rsid w:val="00D70652"/>
    <w:rsid w:val="00D73A78"/>
    <w:rsid w:val="00D7465F"/>
    <w:rsid w:val="00D83DFE"/>
    <w:rsid w:val="00D8424B"/>
    <w:rsid w:val="00DA52F4"/>
    <w:rsid w:val="00DA70FB"/>
    <w:rsid w:val="00DB7CF7"/>
    <w:rsid w:val="00DC4030"/>
    <w:rsid w:val="00DC6EB2"/>
    <w:rsid w:val="00DC7517"/>
    <w:rsid w:val="00DE0B20"/>
    <w:rsid w:val="00DE2102"/>
    <w:rsid w:val="00DF08B6"/>
    <w:rsid w:val="00DF38E0"/>
    <w:rsid w:val="00DF484D"/>
    <w:rsid w:val="00E129B3"/>
    <w:rsid w:val="00E13B16"/>
    <w:rsid w:val="00E13CE7"/>
    <w:rsid w:val="00E158E4"/>
    <w:rsid w:val="00E16DB1"/>
    <w:rsid w:val="00E2676F"/>
    <w:rsid w:val="00E26BB7"/>
    <w:rsid w:val="00E32760"/>
    <w:rsid w:val="00E40717"/>
    <w:rsid w:val="00E446F1"/>
    <w:rsid w:val="00E4612D"/>
    <w:rsid w:val="00E514B5"/>
    <w:rsid w:val="00E51AC9"/>
    <w:rsid w:val="00E623AA"/>
    <w:rsid w:val="00E64262"/>
    <w:rsid w:val="00E67BE8"/>
    <w:rsid w:val="00E67EA9"/>
    <w:rsid w:val="00E71A2B"/>
    <w:rsid w:val="00E71EB5"/>
    <w:rsid w:val="00E8684D"/>
    <w:rsid w:val="00E879DC"/>
    <w:rsid w:val="00E93F34"/>
    <w:rsid w:val="00E94544"/>
    <w:rsid w:val="00EA0A03"/>
    <w:rsid w:val="00EA2F54"/>
    <w:rsid w:val="00EA352E"/>
    <w:rsid w:val="00EB1F23"/>
    <w:rsid w:val="00EC07FB"/>
    <w:rsid w:val="00EC492E"/>
    <w:rsid w:val="00ED3C9F"/>
    <w:rsid w:val="00EE216A"/>
    <w:rsid w:val="00EE2F6D"/>
    <w:rsid w:val="00EE54E8"/>
    <w:rsid w:val="00EF2EDE"/>
    <w:rsid w:val="00EF2F96"/>
    <w:rsid w:val="00EF4296"/>
    <w:rsid w:val="00EF4BA5"/>
    <w:rsid w:val="00EF4D43"/>
    <w:rsid w:val="00F066F1"/>
    <w:rsid w:val="00F07F38"/>
    <w:rsid w:val="00F10CE2"/>
    <w:rsid w:val="00F11311"/>
    <w:rsid w:val="00F17A75"/>
    <w:rsid w:val="00F20BE4"/>
    <w:rsid w:val="00F245AC"/>
    <w:rsid w:val="00F246EE"/>
    <w:rsid w:val="00F2618B"/>
    <w:rsid w:val="00F3118C"/>
    <w:rsid w:val="00F36713"/>
    <w:rsid w:val="00F375D2"/>
    <w:rsid w:val="00F4398E"/>
    <w:rsid w:val="00F505AC"/>
    <w:rsid w:val="00F51124"/>
    <w:rsid w:val="00F522AF"/>
    <w:rsid w:val="00F53886"/>
    <w:rsid w:val="00F55B98"/>
    <w:rsid w:val="00F569B2"/>
    <w:rsid w:val="00F57E91"/>
    <w:rsid w:val="00F627F3"/>
    <w:rsid w:val="00F62D7A"/>
    <w:rsid w:val="00F63B55"/>
    <w:rsid w:val="00F65136"/>
    <w:rsid w:val="00F66ABF"/>
    <w:rsid w:val="00F77C44"/>
    <w:rsid w:val="00F81F73"/>
    <w:rsid w:val="00F84119"/>
    <w:rsid w:val="00F927A9"/>
    <w:rsid w:val="00FA5285"/>
    <w:rsid w:val="00FA5E11"/>
    <w:rsid w:val="00FA7B80"/>
    <w:rsid w:val="00FB03E4"/>
    <w:rsid w:val="00FB0BB6"/>
    <w:rsid w:val="00FB1A68"/>
    <w:rsid w:val="00FB70B3"/>
    <w:rsid w:val="00FD0A13"/>
    <w:rsid w:val="00FD0E32"/>
    <w:rsid w:val="00FD128A"/>
    <w:rsid w:val="00FD38F4"/>
    <w:rsid w:val="00FD42EB"/>
    <w:rsid w:val="00FE4B30"/>
    <w:rsid w:val="00FE4E7C"/>
    <w:rsid w:val="00FE62EE"/>
    <w:rsid w:val="00FF06D9"/>
    <w:rsid w:val="00FF0EE1"/>
    <w:rsid w:val="00FF4693"/>
    <w:rsid w:val="00FF4F80"/>
    <w:rsid w:val="00FF660A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E8D8"/>
  <w15:chartTrackingRefBased/>
  <w15:docId w15:val="{80D52E2F-2207-4FD1-8B51-4F5B00F5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5AC"/>
  </w:style>
  <w:style w:type="paragraph" w:styleId="Heading3">
    <w:name w:val="heading 3"/>
    <w:basedOn w:val="Normal"/>
    <w:link w:val="Heading3Char"/>
    <w:uiPriority w:val="9"/>
    <w:qFormat/>
    <w:rsid w:val="00A45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98E"/>
    <w:pPr>
      <w:ind w:left="720"/>
      <w:contextualSpacing/>
    </w:pPr>
  </w:style>
  <w:style w:type="table" w:styleId="TableGrid">
    <w:name w:val="Table Grid"/>
    <w:basedOn w:val="TableNormal"/>
    <w:uiPriority w:val="39"/>
    <w:rsid w:val="00E9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69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3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EF"/>
    <w:rPr>
      <w:rFonts w:ascii="Segoe UI" w:hAnsi="Segoe UI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E16D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411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1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17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451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A4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865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90D"/>
  </w:style>
  <w:style w:type="paragraph" w:styleId="Header">
    <w:name w:val="header"/>
    <w:basedOn w:val="Normal"/>
    <w:link w:val="HeaderChar"/>
    <w:uiPriority w:val="99"/>
    <w:unhideWhenUsed/>
    <w:rsid w:val="008A7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4A1"/>
  </w:style>
  <w:style w:type="character" w:styleId="SubtleEmphasis">
    <w:name w:val="Subtle Emphasis"/>
    <w:basedOn w:val="DefaultParagraphFont"/>
    <w:uiPriority w:val="19"/>
    <w:qFormat/>
    <w:rsid w:val="008A74A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reenk\Dropbox\DGEI%20-%20UNAM\Reportes%20Rankings\Estadisticas\Resultados%20Ranking%20del%20Reforma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reenk\Dropbox\DGEI%20-%20UNAM\Reportes%20Rankings\Estadisticas\Resultados%20Ranking%20del%20Reforma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A8A-44E5-9718-9CC85F46586A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A8A-44E5-9718-9CC85F46586A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A8A-44E5-9718-9CC85F46586A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A8A-44E5-9718-9CC85F46586A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3A8A-44E5-9718-9CC85F46586A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3A8A-44E5-9718-9CC85F46586A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3A8A-44E5-9718-9CC85F46586A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3A8A-44E5-9718-9CC85F46586A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3A8A-44E5-9718-9CC85F46586A}"/>
              </c:ext>
            </c:extLst>
          </c:dPt>
          <c:dPt>
            <c:idx val="1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3A8A-44E5-9718-9CC85F46586A}"/>
              </c:ext>
            </c:extLst>
          </c:dPt>
          <c:dPt>
            <c:idx val="1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3A8A-44E5-9718-9CC85F46586A}"/>
              </c:ext>
            </c:extLst>
          </c:dPt>
          <c:dPt>
            <c:idx val="1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3A8A-44E5-9718-9CC85F46586A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3A8A-44E5-9718-9CC85F46586A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3A8A-44E5-9718-9CC85F46586A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3A8A-44E5-9718-9CC85F46586A}"/>
              </c:ext>
            </c:extLst>
          </c:dPt>
          <c:dPt>
            <c:idx val="18"/>
            <c:invertIfNegative val="0"/>
            <c:bubble3D val="0"/>
            <c:spPr>
              <a:solidFill>
                <a:srgbClr val="80808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3A8A-44E5-9718-9CC85F46586A}"/>
              </c:ext>
            </c:extLst>
          </c:dPt>
          <c:dPt>
            <c:idx val="19"/>
            <c:invertIfNegative val="0"/>
            <c:bubble3D val="0"/>
            <c:spPr>
              <a:solidFill>
                <a:srgbClr val="80808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1-3A8A-44E5-9718-9CC85F46586A}"/>
              </c:ext>
            </c:extLst>
          </c:dPt>
          <c:dPt>
            <c:idx val="20"/>
            <c:invertIfNegative val="0"/>
            <c:bubble3D val="0"/>
            <c:spPr>
              <a:solidFill>
                <a:srgbClr val="80808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3-3A8A-44E5-9718-9CC85F4658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UNAM!$M$9:$N$29</c:f>
              <c:multiLvlStrCache>
                <c:ptCount val="21"/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2019</c:v>
                  </c:pt>
                  <c:pt idx="7">
                    <c:v>2020</c:v>
                  </c:pt>
                  <c:pt idx="8">
                    <c:v>2021</c:v>
                  </c:pt>
                  <c:pt idx="9">
                    <c:v>2019</c:v>
                  </c:pt>
                  <c:pt idx="10">
                    <c:v>2020</c:v>
                  </c:pt>
                  <c:pt idx="11">
                    <c:v>2021</c:v>
                  </c:pt>
                  <c:pt idx="12">
                    <c:v>2019</c:v>
                  </c:pt>
                  <c:pt idx="13">
                    <c:v>2020</c:v>
                  </c:pt>
                  <c:pt idx="14">
                    <c:v>2021</c:v>
                  </c:pt>
                  <c:pt idx="15">
                    <c:v>2019</c:v>
                  </c:pt>
                  <c:pt idx="16">
                    <c:v>2020</c:v>
                  </c:pt>
                  <c:pt idx="17">
                    <c:v>2021</c:v>
                  </c:pt>
                  <c:pt idx="18">
                    <c:v>2019</c:v>
                  </c:pt>
                  <c:pt idx="19">
                    <c:v>2020</c:v>
                  </c:pt>
                  <c:pt idx="20">
                    <c:v>2021</c:v>
                  </c:pt>
                </c:lvl>
                <c:lvl>
                  <c:pt idx="0">
                    <c:v>Medicina</c:v>
                  </c:pt>
                  <c:pt idx="3">
                    <c:v>Psicología</c:v>
                  </c:pt>
                  <c:pt idx="6">
                    <c:v>Arquitectura</c:v>
                  </c:pt>
                  <c:pt idx="9">
                    <c:v>Derecho </c:v>
                  </c:pt>
                  <c:pt idx="12">
                    <c:v>Ing. Química</c:v>
                  </c:pt>
                  <c:pt idx="15">
                    <c:v>Comunicación o periodismo</c:v>
                  </c:pt>
                  <c:pt idx="18">
                    <c:v>Contaduría </c:v>
                  </c:pt>
                </c:lvl>
              </c:multiLvlStrCache>
            </c:multiLvlStrRef>
          </c:cat>
          <c:val>
            <c:numRef>
              <c:f>UNAM!$O$9:$O$29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5</c:v>
                </c:pt>
                <c:pt idx="17">
                  <c:v>3</c:v>
                </c:pt>
                <c:pt idx="18">
                  <c:v>7</c:v>
                </c:pt>
                <c:pt idx="19">
                  <c:v>5</c:v>
                </c:pt>
                <c:pt idx="2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3A8A-44E5-9718-9CC85F4658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85887551"/>
        <c:axId val="1285888383"/>
      </c:barChart>
      <c:catAx>
        <c:axId val="1285887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85888383"/>
        <c:crosses val="autoZero"/>
        <c:auto val="1"/>
        <c:lblAlgn val="ctr"/>
        <c:lblOffset val="100"/>
        <c:noMultiLvlLbl val="0"/>
      </c:catAx>
      <c:valAx>
        <c:axId val="128588838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858875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</a:defRPr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038-496C-B7B7-7860B56F1E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038-496C-B7B7-7860B56F1E4F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038-496C-B7B7-7860B56F1E4F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038-496C-B7B7-7860B56F1E4F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038-496C-B7B7-7860B56F1E4F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2038-496C-B7B7-7860B56F1E4F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2038-496C-B7B7-7860B56F1E4F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2038-496C-B7B7-7860B56F1E4F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2038-496C-B7B7-7860B56F1E4F}"/>
              </c:ext>
            </c:extLst>
          </c:dPt>
          <c:dPt>
            <c:idx val="1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2038-496C-B7B7-7860B56F1E4F}"/>
              </c:ext>
            </c:extLst>
          </c:dPt>
          <c:dPt>
            <c:idx val="1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2038-496C-B7B7-7860B56F1E4F}"/>
              </c:ext>
            </c:extLst>
          </c:dPt>
          <c:dPt>
            <c:idx val="1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2038-496C-B7B7-7860B56F1E4F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2038-496C-B7B7-7860B56F1E4F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2038-496C-B7B7-7860B56F1E4F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2038-496C-B7B7-7860B56F1E4F}"/>
              </c:ext>
            </c:extLst>
          </c:dPt>
          <c:dPt>
            <c:idx val="18"/>
            <c:invertIfNegative val="0"/>
            <c:bubble3D val="0"/>
            <c:spPr>
              <a:solidFill>
                <a:srgbClr val="80808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2038-496C-B7B7-7860B56F1E4F}"/>
              </c:ext>
            </c:extLst>
          </c:dPt>
          <c:dPt>
            <c:idx val="19"/>
            <c:invertIfNegative val="0"/>
            <c:bubble3D val="0"/>
            <c:spPr>
              <a:solidFill>
                <a:srgbClr val="80808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1-2038-496C-B7B7-7860B56F1E4F}"/>
              </c:ext>
            </c:extLst>
          </c:dPt>
          <c:dPt>
            <c:idx val="20"/>
            <c:invertIfNegative val="0"/>
            <c:bubble3D val="0"/>
            <c:spPr>
              <a:solidFill>
                <a:srgbClr val="80808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3-2038-496C-B7B7-7860B56F1E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UNAM!$M$30:$N$50</c:f>
              <c:multiLvlStrCache>
                <c:ptCount val="21"/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2019</c:v>
                  </c:pt>
                  <c:pt idx="7">
                    <c:v>2020</c:v>
                  </c:pt>
                  <c:pt idx="8">
                    <c:v>2021</c:v>
                  </c:pt>
                  <c:pt idx="9">
                    <c:v>2019</c:v>
                  </c:pt>
                  <c:pt idx="10">
                    <c:v>2020</c:v>
                  </c:pt>
                  <c:pt idx="11">
                    <c:v>2021</c:v>
                  </c:pt>
                  <c:pt idx="12">
                    <c:v>2019</c:v>
                  </c:pt>
                  <c:pt idx="13">
                    <c:v>2020</c:v>
                  </c:pt>
                  <c:pt idx="14">
                    <c:v>2021</c:v>
                  </c:pt>
                  <c:pt idx="15">
                    <c:v>2019</c:v>
                  </c:pt>
                  <c:pt idx="16">
                    <c:v>2020</c:v>
                  </c:pt>
                  <c:pt idx="17">
                    <c:v>2021</c:v>
                  </c:pt>
                  <c:pt idx="18">
                    <c:v>2019</c:v>
                  </c:pt>
                  <c:pt idx="19">
                    <c:v>2020</c:v>
                  </c:pt>
                  <c:pt idx="20">
                    <c:v>2021</c:v>
                  </c:pt>
                </c:lvl>
                <c:lvl>
                  <c:pt idx="0">
                    <c:v>Diseño Gráfico</c:v>
                  </c:pt>
                  <c:pt idx="3">
                    <c:v>Ing. en Electrónica</c:v>
                  </c:pt>
                  <c:pt idx="6">
                    <c:v>Ing. en Sistemas</c:v>
                  </c:pt>
                  <c:pt idx="9">
                    <c:v>Administración</c:v>
                  </c:pt>
                  <c:pt idx="12">
                    <c:v>Ing. Industrial</c:v>
                  </c:pt>
                  <c:pt idx="15">
                    <c:v>Economía</c:v>
                  </c:pt>
                  <c:pt idx="18">
                    <c:v>Ing. Mecatrónica</c:v>
                  </c:pt>
                </c:lvl>
              </c:multiLvlStrCache>
            </c:multiLvlStrRef>
          </c:cat>
          <c:val>
            <c:numRef>
              <c:f>UNAM!$O$30:$O$50</c:f>
              <c:numCache>
                <c:formatCode>General</c:formatCode>
                <c:ptCount val="21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4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2</c:v>
                </c:pt>
                <c:pt idx="10">
                  <c:v>6</c:v>
                </c:pt>
                <c:pt idx="11">
                  <c:v>5</c:v>
                </c:pt>
                <c:pt idx="12">
                  <c:v>8</c:v>
                </c:pt>
                <c:pt idx="13">
                  <c:v>8</c:v>
                </c:pt>
                <c:pt idx="14">
                  <c:v>5</c:v>
                </c:pt>
                <c:pt idx="15">
                  <c:v>4</c:v>
                </c:pt>
                <c:pt idx="16">
                  <c:v>4</c:v>
                </c:pt>
                <c:pt idx="17">
                  <c:v>6</c:v>
                </c:pt>
                <c:pt idx="18">
                  <c:v>6</c:v>
                </c:pt>
                <c:pt idx="19">
                  <c:v>6</c:v>
                </c:pt>
                <c:pt idx="2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2038-496C-B7B7-7860B56F1E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85887551"/>
        <c:axId val="1285888383"/>
      </c:barChart>
      <c:catAx>
        <c:axId val="1285887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85888383"/>
        <c:crosses val="autoZero"/>
        <c:auto val="1"/>
        <c:lblAlgn val="ctr"/>
        <c:lblOffset val="100"/>
        <c:noMultiLvlLbl val="0"/>
      </c:catAx>
      <c:valAx>
        <c:axId val="128588838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858875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D4DC-C843-40BA-9F56-E9558B30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2282</Words>
  <Characters>12553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DGEI Sala de juntas</dc:creator>
  <cp:keywords/>
  <dc:description/>
  <cp:lastModifiedBy>revisor</cp:lastModifiedBy>
  <cp:revision>6</cp:revision>
  <cp:lastPrinted>2017-03-29T16:28:00Z</cp:lastPrinted>
  <dcterms:created xsi:type="dcterms:W3CDTF">2021-04-12T23:22:00Z</dcterms:created>
  <dcterms:modified xsi:type="dcterms:W3CDTF">2021-04-13T02:23:00Z</dcterms:modified>
</cp:coreProperties>
</file>